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15" w:rsidRPr="00B14E15" w:rsidRDefault="00B14E15" w:rsidP="00B14E15">
      <w:pPr>
        <w:tabs>
          <w:tab w:val="left" w:pos="0"/>
        </w:tabs>
        <w:spacing w:line="360" w:lineRule="auto"/>
        <w:ind w:left="710"/>
        <w:contextualSpacing/>
        <w:jc w:val="center"/>
        <w:rPr>
          <w:rFonts w:ascii="Arial" w:hAnsi="Arial" w:cs="Arial"/>
          <w:b/>
        </w:rPr>
      </w:pPr>
      <w:r w:rsidRPr="00B14E15">
        <w:rPr>
          <w:rFonts w:ascii="Arial" w:hAnsi="Arial" w:cs="Arial"/>
          <w:b/>
        </w:rPr>
        <w:t>Curso: “Bioensayos: Utilidad en la Evaluación Toxicológica.”</w:t>
      </w:r>
    </w:p>
    <w:p w:rsidR="00B14E15" w:rsidRPr="00AC7449" w:rsidRDefault="00B14E15" w:rsidP="00B14E15">
      <w:pPr>
        <w:ind w:left="1070"/>
        <w:rPr>
          <w:rFonts w:ascii="Arial" w:hAnsi="Arial" w:cs="Arial"/>
        </w:rPr>
      </w:pPr>
    </w:p>
    <w:p w:rsidR="00B14E15" w:rsidRPr="00EE1A39" w:rsidRDefault="00B14E15" w:rsidP="00B14E15">
      <w:pPr>
        <w:tabs>
          <w:tab w:val="left" w:pos="0"/>
        </w:tabs>
        <w:spacing w:before="100" w:beforeAutospacing="1" w:afterAutospacing="1" w:line="600" w:lineRule="auto"/>
        <w:ind w:left="710"/>
        <w:contextualSpacing/>
        <w:rPr>
          <w:rFonts w:ascii="Arial" w:hAnsi="Arial" w:cs="Arial"/>
          <w:bCs/>
        </w:rPr>
      </w:pPr>
      <w:r>
        <w:rPr>
          <w:rFonts w:ascii="Arial" w:hAnsi="Arial" w:cs="Arial"/>
          <w:b/>
        </w:rPr>
        <w:t>D</w:t>
      </w:r>
      <w:r w:rsidRPr="00F40E0F">
        <w:rPr>
          <w:rFonts w:ascii="Arial" w:hAnsi="Arial" w:cs="Arial"/>
          <w:b/>
        </w:rPr>
        <w:t>ocente</w:t>
      </w:r>
      <w:r>
        <w:rPr>
          <w:rFonts w:ascii="Arial" w:hAnsi="Arial" w:cs="Arial"/>
          <w:b/>
        </w:rPr>
        <w:t xml:space="preserve"> Coordinadora: </w:t>
      </w:r>
      <w:r w:rsidRPr="00EE1A39">
        <w:rPr>
          <w:rFonts w:ascii="Arial" w:hAnsi="Arial" w:cs="Arial"/>
          <w:bCs/>
        </w:rPr>
        <w:t xml:space="preserve">Dra. Silvia </w:t>
      </w:r>
      <w:r>
        <w:rPr>
          <w:rFonts w:ascii="Arial" w:hAnsi="Arial" w:cs="Arial"/>
          <w:bCs/>
        </w:rPr>
        <w:t xml:space="preserve">Laura </w:t>
      </w:r>
      <w:r w:rsidRPr="00EE1A39">
        <w:rPr>
          <w:rFonts w:ascii="Arial" w:hAnsi="Arial" w:cs="Arial"/>
          <w:bCs/>
        </w:rPr>
        <w:t>FANELLI</w:t>
      </w:r>
    </w:p>
    <w:p w:rsidR="00B14E15" w:rsidRDefault="00B14E15" w:rsidP="00B14E15">
      <w:pPr>
        <w:tabs>
          <w:tab w:val="left" w:pos="0"/>
        </w:tabs>
        <w:spacing w:beforeAutospacing="1" w:afterAutospacing="1" w:line="360" w:lineRule="auto"/>
        <w:ind w:left="710"/>
        <w:contextualSpacing/>
        <w:jc w:val="both"/>
        <w:rPr>
          <w:rFonts w:ascii="Arial" w:hAnsi="Arial" w:cs="Arial"/>
          <w:bCs/>
        </w:rPr>
      </w:pPr>
      <w:r w:rsidRPr="00AC7449">
        <w:rPr>
          <w:rFonts w:ascii="Arial" w:hAnsi="Arial" w:cs="Arial"/>
          <w:b/>
        </w:rPr>
        <w:t>Docentes responsables</w:t>
      </w:r>
      <w:r w:rsidRPr="00AC7449">
        <w:rPr>
          <w:rFonts w:ascii="Arial" w:hAnsi="Arial" w:cs="Arial"/>
        </w:rPr>
        <w:t xml:space="preserve">: </w:t>
      </w:r>
      <w:r w:rsidRPr="00EE1A39">
        <w:rPr>
          <w:rFonts w:ascii="Arial" w:hAnsi="Arial" w:cs="Arial"/>
        </w:rPr>
        <w:t>D</w:t>
      </w:r>
      <w:r w:rsidRPr="00EE1A39">
        <w:rPr>
          <w:rFonts w:ascii="Arial" w:hAnsi="Arial" w:cs="Arial"/>
          <w:bCs/>
        </w:rPr>
        <w:t>r</w:t>
      </w:r>
      <w:r w:rsidRPr="00AC7449">
        <w:rPr>
          <w:rFonts w:ascii="Arial" w:hAnsi="Arial" w:cs="Arial"/>
          <w:bCs/>
        </w:rPr>
        <w:t xml:space="preserve">a. Laura </w:t>
      </w:r>
      <w:r>
        <w:rPr>
          <w:rFonts w:ascii="Arial" w:hAnsi="Arial" w:cs="Arial"/>
          <w:bCs/>
        </w:rPr>
        <w:t xml:space="preserve">Cecilia </w:t>
      </w:r>
      <w:r w:rsidRPr="00AC7449">
        <w:rPr>
          <w:rFonts w:ascii="Arial" w:hAnsi="Arial" w:cs="Arial"/>
          <w:bCs/>
        </w:rPr>
        <w:t xml:space="preserve">BARTEL, Dr. </w:t>
      </w:r>
      <w:r w:rsidRPr="00125417">
        <w:rPr>
          <w:rFonts w:ascii="Arial" w:hAnsi="Arial" w:cs="Arial"/>
          <w:bCs/>
        </w:rPr>
        <w:t>Guido Enrique MASTRANTONIO GARRIDO</w:t>
      </w:r>
      <w:r w:rsidRPr="00AC7449">
        <w:rPr>
          <w:rFonts w:ascii="Arial" w:hAnsi="Arial" w:cs="Arial"/>
          <w:bCs/>
        </w:rPr>
        <w:t xml:space="preserve">, </w:t>
      </w:r>
      <w:r>
        <w:rPr>
          <w:rFonts w:ascii="Arial" w:hAnsi="Arial" w:cs="Arial"/>
          <w:bCs/>
        </w:rPr>
        <w:t>Ing. Ingrid</w:t>
      </w:r>
      <w:r w:rsidRPr="00AC7449">
        <w:rPr>
          <w:rFonts w:ascii="Arial" w:hAnsi="Arial" w:cs="Arial"/>
          <w:bCs/>
        </w:rPr>
        <w:t xml:space="preserve"> Violeta POGGIO HER</w:t>
      </w:r>
      <w:r>
        <w:rPr>
          <w:rFonts w:ascii="Arial" w:hAnsi="Arial" w:cs="Arial"/>
          <w:bCs/>
        </w:rPr>
        <w:t>R</w:t>
      </w:r>
      <w:r w:rsidRPr="00AC7449">
        <w:rPr>
          <w:rFonts w:ascii="Arial" w:hAnsi="Arial" w:cs="Arial"/>
          <w:bCs/>
        </w:rPr>
        <w:t>ERO</w:t>
      </w:r>
      <w:r>
        <w:rPr>
          <w:rFonts w:ascii="Arial" w:hAnsi="Arial" w:cs="Arial"/>
          <w:bCs/>
        </w:rPr>
        <w:t xml:space="preserve"> y </w:t>
      </w:r>
      <w:r w:rsidRPr="00AC7449">
        <w:rPr>
          <w:rFonts w:ascii="Arial" w:hAnsi="Arial" w:cs="Arial"/>
          <w:bCs/>
        </w:rPr>
        <w:t>Lic. Camila RODRÍGUEZ</w:t>
      </w:r>
      <w:r>
        <w:rPr>
          <w:rFonts w:ascii="Arial" w:hAnsi="Arial" w:cs="Arial"/>
          <w:bCs/>
        </w:rPr>
        <w:t>.</w:t>
      </w:r>
    </w:p>
    <w:p w:rsidR="00B14E15" w:rsidRDefault="00B14E15" w:rsidP="00B14E15">
      <w:pPr>
        <w:tabs>
          <w:tab w:val="left" w:pos="0"/>
        </w:tabs>
        <w:spacing w:beforeAutospacing="1" w:afterAutospacing="1" w:line="360" w:lineRule="auto"/>
        <w:ind w:left="720"/>
        <w:contextualSpacing/>
        <w:jc w:val="both"/>
        <w:rPr>
          <w:rFonts w:ascii="Arial" w:hAnsi="Arial" w:cs="Arial"/>
          <w:bCs/>
        </w:rPr>
      </w:pPr>
    </w:p>
    <w:p w:rsidR="00B14E15" w:rsidRPr="00D51D77" w:rsidRDefault="00B14E15" w:rsidP="00B14E15">
      <w:pPr>
        <w:tabs>
          <w:tab w:val="left" w:pos="0"/>
        </w:tabs>
        <w:spacing w:beforeAutospacing="1" w:afterAutospacing="1" w:line="360" w:lineRule="auto"/>
        <w:ind w:left="710"/>
        <w:contextualSpacing/>
        <w:jc w:val="both"/>
        <w:rPr>
          <w:rFonts w:ascii="Arial" w:hAnsi="Arial" w:cs="Arial"/>
          <w:bCs/>
        </w:rPr>
      </w:pPr>
      <w:r w:rsidRPr="00AC7449">
        <w:rPr>
          <w:rFonts w:ascii="Arial" w:hAnsi="Arial" w:cs="Arial"/>
          <w:b/>
          <w:bCs/>
        </w:rPr>
        <w:t>Fundamentación:</w:t>
      </w:r>
    </w:p>
    <w:p w:rsidR="00B14E15" w:rsidRDefault="00B14E15" w:rsidP="00B14E15">
      <w:pPr>
        <w:tabs>
          <w:tab w:val="left" w:pos="0"/>
        </w:tabs>
        <w:spacing w:beforeAutospacing="1" w:afterAutospacing="1" w:line="360" w:lineRule="auto"/>
        <w:contextualSpacing/>
        <w:jc w:val="both"/>
        <w:rPr>
          <w:rFonts w:ascii="Arial" w:hAnsi="Arial" w:cs="Arial"/>
          <w:bCs/>
        </w:rPr>
      </w:pPr>
      <w:r w:rsidRPr="00AC7449">
        <w:rPr>
          <w:rFonts w:ascii="Arial" w:hAnsi="Arial" w:cs="Arial"/>
          <w:bCs/>
        </w:rPr>
        <w:t>El curso se plantea como una instancia de capacitación para profesionales dedicados al estudio de los riesgos ambientales. La introducción al manejo de los bioensayos resulta una herramienta efectiva para la evaluación preliminar de riesgo ecotoxicológico producido por sustancias químicas.</w:t>
      </w:r>
    </w:p>
    <w:p w:rsidR="00B14E15" w:rsidRDefault="00B14E15" w:rsidP="00B14E15">
      <w:pPr>
        <w:tabs>
          <w:tab w:val="left" w:pos="0"/>
        </w:tabs>
        <w:spacing w:beforeAutospacing="1" w:afterAutospacing="1" w:line="360" w:lineRule="auto"/>
        <w:contextualSpacing/>
        <w:jc w:val="both"/>
        <w:rPr>
          <w:rFonts w:ascii="Arial" w:hAnsi="Arial" w:cs="Arial"/>
          <w:bCs/>
        </w:rPr>
      </w:pPr>
      <w:r>
        <w:rPr>
          <w:rFonts w:ascii="Arial" w:hAnsi="Arial" w:cs="Arial"/>
          <w:bCs/>
        </w:rPr>
        <w:t>El curso e</w:t>
      </w:r>
      <w:r w:rsidRPr="001335BA">
        <w:rPr>
          <w:rFonts w:ascii="Arial" w:hAnsi="Arial" w:cs="Arial"/>
          <w:bCs/>
        </w:rPr>
        <w:t>stá diseñado sobre una base teórica que permita fundamentar las experiencias prácticas. Se propone trabajar sobre ejemplos concretos de bioensayos utilizados actualmente en la conformación de baterías analíticas con amplia aceptación por parte de organismos de control nacional e internacionales.</w:t>
      </w:r>
    </w:p>
    <w:p w:rsidR="00B14E15" w:rsidRDefault="00B14E15" w:rsidP="00B14E15">
      <w:pPr>
        <w:tabs>
          <w:tab w:val="left" w:pos="0"/>
        </w:tabs>
        <w:spacing w:beforeAutospacing="1" w:afterAutospacing="1" w:line="360" w:lineRule="auto"/>
        <w:contextualSpacing/>
        <w:jc w:val="both"/>
        <w:rPr>
          <w:rFonts w:ascii="Arial" w:hAnsi="Arial" w:cs="Arial"/>
          <w:bCs/>
        </w:rPr>
      </w:pPr>
    </w:p>
    <w:p w:rsidR="00B14E15" w:rsidRPr="00EE1A39" w:rsidRDefault="00B14E15" w:rsidP="00B14E15">
      <w:pPr>
        <w:tabs>
          <w:tab w:val="left" w:pos="0"/>
        </w:tabs>
        <w:spacing w:beforeAutospacing="1" w:afterAutospacing="1" w:line="360" w:lineRule="auto"/>
        <w:ind w:left="710"/>
        <w:contextualSpacing/>
        <w:jc w:val="both"/>
        <w:rPr>
          <w:rFonts w:ascii="Arial" w:hAnsi="Arial" w:cs="Arial"/>
          <w:bCs/>
        </w:rPr>
      </w:pPr>
      <w:r w:rsidRPr="00EE1A39">
        <w:rPr>
          <w:rFonts w:ascii="Arial" w:hAnsi="Arial" w:cs="Arial"/>
          <w:b/>
          <w:bCs/>
        </w:rPr>
        <w:t>Objetivos:</w:t>
      </w:r>
    </w:p>
    <w:p w:rsidR="00B14E15" w:rsidRPr="004E4308" w:rsidRDefault="00B14E15" w:rsidP="00B14E15">
      <w:pPr>
        <w:pStyle w:val="toc-chaptitle"/>
        <w:spacing w:after="0"/>
        <w:jc w:val="both"/>
        <w:rPr>
          <w:rFonts w:ascii="Arial" w:hAnsi="Arial" w:cs="Arial"/>
          <w:bCs/>
        </w:rPr>
      </w:pPr>
      <w:r w:rsidRPr="00EB16D3">
        <w:rPr>
          <w:rFonts w:ascii="Arial" w:hAnsi="Arial" w:cs="Arial"/>
          <w:bCs/>
        </w:rPr>
        <w:t xml:space="preserve">Capacitar profesionales del ámbito público y privado en el uso e interpretación de los bioensayos para el análisis </w:t>
      </w:r>
      <w:r>
        <w:rPr>
          <w:rFonts w:ascii="Arial" w:hAnsi="Arial" w:cs="Arial"/>
          <w:bCs/>
        </w:rPr>
        <w:t xml:space="preserve">toxicológico </w:t>
      </w:r>
      <w:r w:rsidRPr="00EB16D3">
        <w:rPr>
          <w:rFonts w:ascii="Arial" w:hAnsi="Arial" w:cs="Arial"/>
          <w:bCs/>
        </w:rPr>
        <w:t>ambiental.</w:t>
      </w:r>
      <w:r>
        <w:rPr>
          <w:rFonts w:ascii="Arial" w:hAnsi="Arial" w:cs="Arial"/>
          <w:bCs/>
        </w:rPr>
        <w:t xml:space="preserve"> </w:t>
      </w:r>
      <w:r w:rsidRPr="00EB16D3">
        <w:rPr>
          <w:rFonts w:ascii="Arial" w:hAnsi="Arial" w:cs="Arial"/>
          <w:bCs/>
        </w:rPr>
        <w:t>Introducir a egresados en la temática de los bioensayos para su aplicación en investigaciones del ámbito de la toxicología ambienta</w:t>
      </w:r>
      <w:r>
        <w:rPr>
          <w:rFonts w:ascii="Arial" w:hAnsi="Arial" w:cs="Arial"/>
          <w:bCs/>
        </w:rPr>
        <w:t>l.</w:t>
      </w:r>
    </w:p>
    <w:p w:rsidR="00B14E15" w:rsidRDefault="00B14E15" w:rsidP="00B14E15">
      <w:pPr>
        <w:pStyle w:val="toc-chaptitle"/>
        <w:spacing w:before="0" w:after="0"/>
        <w:jc w:val="both"/>
        <w:rPr>
          <w:rFonts w:ascii="Arial" w:hAnsi="Arial" w:cs="Arial"/>
          <w:bCs/>
        </w:rPr>
      </w:pPr>
      <w:r w:rsidRPr="004E4308">
        <w:rPr>
          <w:rFonts w:ascii="Arial" w:hAnsi="Arial" w:cs="Arial"/>
          <w:bCs/>
        </w:rPr>
        <w:t>La organización y el dictado del curso se encontrarán a cargo del Área de Toxicología del Departamento de Química. Facultad de Ciencias Exactas y Naturales</w:t>
      </w:r>
      <w:r>
        <w:rPr>
          <w:rFonts w:ascii="Arial" w:hAnsi="Arial" w:cs="Arial"/>
          <w:bCs/>
        </w:rPr>
        <w:t>,</w:t>
      </w:r>
      <w:r w:rsidRPr="004E4308">
        <w:rPr>
          <w:rFonts w:ascii="Arial" w:hAnsi="Arial" w:cs="Arial"/>
          <w:bCs/>
        </w:rPr>
        <w:t xml:space="preserve"> UNLPam.</w:t>
      </w:r>
    </w:p>
    <w:p w:rsidR="00B14E15" w:rsidRDefault="00B14E15" w:rsidP="00B14E15">
      <w:pPr>
        <w:pStyle w:val="toc-chaptitle"/>
        <w:spacing w:before="0" w:after="0"/>
        <w:jc w:val="both"/>
        <w:rPr>
          <w:rFonts w:ascii="Arial" w:hAnsi="Arial" w:cs="Arial"/>
          <w:bCs/>
        </w:rPr>
      </w:pPr>
    </w:p>
    <w:p w:rsidR="00B14E15" w:rsidRDefault="00B14E15" w:rsidP="00B14E15">
      <w:pPr>
        <w:pStyle w:val="toc-chaptitle"/>
        <w:spacing w:before="0" w:after="0"/>
        <w:jc w:val="both"/>
        <w:rPr>
          <w:rFonts w:ascii="Arial" w:hAnsi="Arial" w:cs="Arial"/>
          <w:bCs/>
        </w:rPr>
      </w:pPr>
    </w:p>
    <w:p w:rsidR="00B14E15" w:rsidRPr="00EE1A39" w:rsidRDefault="00B14E15" w:rsidP="00B14E15">
      <w:pPr>
        <w:pStyle w:val="toc-chaptitle"/>
        <w:spacing w:before="0" w:after="0"/>
        <w:ind w:left="710"/>
        <w:jc w:val="both"/>
        <w:rPr>
          <w:rFonts w:ascii="Arial" w:hAnsi="Arial" w:cs="Arial"/>
          <w:bCs/>
        </w:rPr>
      </w:pPr>
      <w:r w:rsidRPr="00EE1A39">
        <w:rPr>
          <w:rFonts w:ascii="Arial" w:hAnsi="Arial" w:cs="Arial"/>
          <w:b/>
          <w:bCs/>
        </w:rPr>
        <w:t>Contenidos:</w:t>
      </w:r>
    </w:p>
    <w:p w:rsidR="00B14E15" w:rsidRPr="004E4308" w:rsidRDefault="00B14E15" w:rsidP="00B14E15">
      <w:pPr>
        <w:pStyle w:val="toc-chaptitle"/>
        <w:spacing w:before="0" w:after="0"/>
        <w:jc w:val="both"/>
        <w:rPr>
          <w:rFonts w:ascii="Arial" w:hAnsi="Arial" w:cs="Arial"/>
          <w:b/>
          <w:bCs/>
        </w:rPr>
      </w:pPr>
    </w:p>
    <w:p w:rsidR="00B14E15" w:rsidRDefault="00B14E15" w:rsidP="00B14E15">
      <w:pPr>
        <w:pStyle w:val="toc-chaptitle"/>
        <w:spacing w:before="0" w:after="0"/>
        <w:jc w:val="both"/>
        <w:rPr>
          <w:rFonts w:ascii="Arial" w:hAnsi="Arial" w:cs="Arial"/>
          <w:b/>
          <w:bCs/>
        </w:rPr>
      </w:pPr>
      <w:r w:rsidRPr="004E4308">
        <w:rPr>
          <w:rFonts w:ascii="Arial" w:hAnsi="Arial" w:cs="Arial"/>
          <w:b/>
          <w:bCs/>
        </w:rPr>
        <w:t xml:space="preserve">Unidad </w:t>
      </w:r>
      <w:r>
        <w:rPr>
          <w:rFonts w:ascii="Arial" w:hAnsi="Arial" w:cs="Arial"/>
          <w:b/>
          <w:bCs/>
        </w:rPr>
        <w:t xml:space="preserve">Teórica </w:t>
      </w:r>
      <w:r w:rsidRPr="004E4308">
        <w:rPr>
          <w:rFonts w:ascii="Arial" w:hAnsi="Arial" w:cs="Arial"/>
          <w:b/>
          <w:bCs/>
        </w:rPr>
        <w:t xml:space="preserve">1: </w:t>
      </w:r>
      <w:r>
        <w:rPr>
          <w:rFonts w:ascii="Arial" w:hAnsi="Arial" w:cs="Arial"/>
          <w:b/>
          <w:bCs/>
        </w:rPr>
        <w:t>Principios básicos de toxicología:</w:t>
      </w:r>
    </w:p>
    <w:p w:rsidR="00B14E15" w:rsidRDefault="00B14E15" w:rsidP="00B14E15">
      <w:pPr>
        <w:pStyle w:val="toc-chaptitle"/>
        <w:spacing w:before="0" w:after="0"/>
        <w:jc w:val="both"/>
        <w:rPr>
          <w:rFonts w:ascii="Arial" w:hAnsi="Arial" w:cs="Arial"/>
          <w:bCs/>
        </w:rPr>
      </w:pPr>
      <w:r w:rsidRPr="00DB4CD1">
        <w:rPr>
          <w:rFonts w:ascii="Arial" w:hAnsi="Arial" w:cs="Arial"/>
          <w:bCs/>
        </w:rPr>
        <w:lastRenderedPageBreak/>
        <w:t>Toxicidad.</w:t>
      </w:r>
      <w:r>
        <w:rPr>
          <w:rFonts w:ascii="Arial" w:hAnsi="Arial" w:cs="Arial"/>
          <w:b/>
          <w:bCs/>
        </w:rPr>
        <w:t xml:space="preserve"> </w:t>
      </w:r>
      <w:r>
        <w:rPr>
          <w:rFonts w:ascii="Arial" w:hAnsi="Arial" w:cs="Arial"/>
          <w:bCs/>
        </w:rPr>
        <w:t>Sustancias tóxicas. Factores que modulan la toxicidad. Toxicocinética:</w:t>
      </w:r>
      <w:r w:rsidRPr="006E739E">
        <w:rPr>
          <w:rFonts w:ascii="Arial" w:hAnsi="Arial" w:cs="Arial"/>
          <w:b/>
          <w:bCs/>
        </w:rPr>
        <w:t xml:space="preserve"> </w:t>
      </w:r>
      <w:r w:rsidRPr="00DB4CD1">
        <w:rPr>
          <w:rFonts w:ascii="Arial" w:hAnsi="Arial" w:cs="Arial"/>
          <w:bCs/>
        </w:rPr>
        <w:t>exposición, absorción, distribución, biotransformación y excreción de xenobióticos</w:t>
      </w:r>
      <w:r>
        <w:rPr>
          <w:rFonts w:ascii="Arial" w:hAnsi="Arial" w:cs="Arial"/>
          <w:bCs/>
        </w:rPr>
        <w:t>.</w:t>
      </w:r>
      <w:r w:rsidRPr="004E4308">
        <w:rPr>
          <w:rFonts w:ascii="Arial" w:hAnsi="Arial" w:cs="Arial"/>
          <w:bCs/>
        </w:rPr>
        <w:t xml:space="preserve"> Metabolismo</w:t>
      </w:r>
      <w:r>
        <w:rPr>
          <w:rFonts w:ascii="Arial" w:hAnsi="Arial" w:cs="Arial"/>
          <w:bCs/>
        </w:rPr>
        <w:t>: r</w:t>
      </w:r>
      <w:r w:rsidRPr="004E4308">
        <w:rPr>
          <w:rFonts w:ascii="Arial" w:hAnsi="Arial" w:cs="Arial"/>
          <w:bCs/>
        </w:rPr>
        <w:t xml:space="preserve">eacciones de fase I y </w:t>
      </w:r>
      <w:r>
        <w:rPr>
          <w:rFonts w:ascii="Arial" w:hAnsi="Arial" w:cs="Arial"/>
          <w:bCs/>
        </w:rPr>
        <w:t>II.</w:t>
      </w:r>
      <w:r w:rsidRPr="004E4308">
        <w:rPr>
          <w:rFonts w:ascii="Arial" w:hAnsi="Arial" w:cs="Arial"/>
          <w:bCs/>
        </w:rPr>
        <w:t xml:space="preserve"> Metabolitos reactivos</w:t>
      </w:r>
      <w:r>
        <w:rPr>
          <w:rFonts w:ascii="Arial" w:hAnsi="Arial" w:cs="Arial"/>
          <w:bCs/>
        </w:rPr>
        <w:t>.</w:t>
      </w:r>
    </w:p>
    <w:p w:rsidR="00B14E15" w:rsidRDefault="00B14E15" w:rsidP="00B14E15">
      <w:pPr>
        <w:pStyle w:val="toc-chaptitle"/>
        <w:spacing w:before="0" w:after="0"/>
        <w:jc w:val="both"/>
        <w:rPr>
          <w:rFonts w:ascii="Arial" w:hAnsi="Arial" w:cs="Arial"/>
          <w:b/>
          <w:bCs/>
        </w:rPr>
      </w:pPr>
    </w:p>
    <w:p w:rsidR="00B14E15" w:rsidRPr="004E4308" w:rsidRDefault="00B14E15" w:rsidP="00B14E15">
      <w:pPr>
        <w:pStyle w:val="toc-chaptitle"/>
        <w:spacing w:before="0" w:after="0"/>
        <w:jc w:val="both"/>
        <w:rPr>
          <w:rFonts w:ascii="Arial" w:hAnsi="Arial" w:cs="Arial"/>
          <w:b/>
          <w:bCs/>
        </w:rPr>
      </w:pPr>
      <w:r>
        <w:rPr>
          <w:rFonts w:ascii="Arial" w:hAnsi="Arial" w:cs="Arial"/>
          <w:b/>
          <w:bCs/>
        </w:rPr>
        <w:t xml:space="preserve">Unidad Teórica 2: </w:t>
      </w:r>
      <w:r w:rsidRPr="004E4308">
        <w:rPr>
          <w:rFonts w:ascii="Arial" w:hAnsi="Arial" w:cs="Arial"/>
          <w:b/>
          <w:bCs/>
        </w:rPr>
        <w:t xml:space="preserve">Generalidades de toxicología </w:t>
      </w:r>
      <w:r>
        <w:rPr>
          <w:rFonts w:ascii="Arial" w:hAnsi="Arial" w:cs="Arial"/>
          <w:b/>
          <w:bCs/>
        </w:rPr>
        <w:t xml:space="preserve">ambiental- Bioensayos </w:t>
      </w:r>
    </w:p>
    <w:p w:rsidR="00B14E15" w:rsidRDefault="00B14E15" w:rsidP="00B14E15">
      <w:pPr>
        <w:pStyle w:val="toc-chaptitle"/>
        <w:spacing w:before="0" w:after="0"/>
        <w:jc w:val="both"/>
        <w:rPr>
          <w:rFonts w:ascii="Arial" w:hAnsi="Arial" w:cs="Arial"/>
        </w:rPr>
      </w:pPr>
      <w:r w:rsidRPr="004E4308">
        <w:rPr>
          <w:rFonts w:ascii="Arial" w:hAnsi="Arial" w:cs="Arial"/>
        </w:rPr>
        <w:t xml:space="preserve">Métodos analíticos para </w:t>
      </w:r>
      <w:r>
        <w:rPr>
          <w:rFonts w:ascii="Arial" w:hAnsi="Arial" w:cs="Arial"/>
        </w:rPr>
        <w:t xml:space="preserve">estudios de toxicidad ambiental. </w:t>
      </w:r>
      <w:r w:rsidRPr="004E4308">
        <w:rPr>
          <w:rFonts w:ascii="Arial" w:hAnsi="Arial" w:cs="Arial"/>
        </w:rPr>
        <w:t xml:space="preserve"> Justificación del uso de bioensayos como herramienta analítica</w:t>
      </w:r>
      <w:r>
        <w:rPr>
          <w:rFonts w:ascii="Arial" w:hAnsi="Arial" w:cs="Arial"/>
        </w:rPr>
        <w:t>.</w:t>
      </w:r>
      <w:r w:rsidRPr="004E4308">
        <w:rPr>
          <w:rFonts w:ascii="Arial" w:hAnsi="Arial" w:cs="Arial"/>
          <w:iCs/>
        </w:rPr>
        <w:t xml:space="preserve"> </w:t>
      </w:r>
      <w:r>
        <w:rPr>
          <w:rFonts w:ascii="Arial" w:hAnsi="Arial" w:cs="Arial"/>
          <w:iCs/>
        </w:rPr>
        <w:t xml:space="preserve">Definiciones, </w:t>
      </w:r>
      <w:r w:rsidRPr="004E4308">
        <w:rPr>
          <w:rFonts w:ascii="Arial" w:hAnsi="Arial" w:cs="Arial"/>
          <w:iCs/>
        </w:rPr>
        <w:t>tipos</w:t>
      </w:r>
      <w:r>
        <w:rPr>
          <w:rFonts w:ascii="Arial" w:hAnsi="Arial" w:cs="Arial"/>
          <w:iCs/>
        </w:rPr>
        <w:t xml:space="preserve"> y</w:t>
      </w:r>
      <w:r w:rsidRPr="004E4308">
        <w:rPr>
          <w:rFonts w:ascii="Arial" w:hAnsi="Arial" w:cs="Arial"/>
          <w:iCs/>
        </w:rPr>
        <w:t xml:space="preserve"> clasificación; </w:t>
      </w:r>
      <w:r>
        <w:rPr>
          <w:rFonts w:ascii="Arial" w:hAnsi="Arial" w:cs="Arial"/>
        </w:rPr>
        <w:t>a</w:t>
      </w:r>
      <w:r w:rsidRPr="004E4308">
        <w:rPr>
          <w:rFonts w:ascii="Arial" w:hAnsi="Arial" w:cs="Arial"/>
        </w:rPr>
        <w:t xml:space="preserve">plicaciones de los ensayos de toxicidad para la evaluación de efectos biológicos; </w:t>
      </w:r>
      <w:r>
        <w:rPr>
          <w:rFonts w:ascii="Arial" w:hAnsi="Arial" w:cs="Arial"/>
        </w:rPr>
        <w:t xml:space="preserve">selección de organismos. </w:t>
      </w:r>
      <w:r w:rsidRPr="004E4308">
        <w:rPr>
          <w:rFonts w:ascii="Arial" w:hAnsi="Arial" w:cs="Arial"/>
          <w:iCs/>
        </w:rPr>
        <w:t>Evaluación de toxicidad de efluentes</w:t>
      </w:r>
      <w:r>
        <w:rPr>
          <w:rFonts w:ascii="Arial" w:hAnsi="Arial" w:cs="Arial"/>
          <w:iCs/>
        </w:rPr>
        <w:t xml:space="preserve">, </w:t>
      </w:r>
      <w:r w:rsidRPr="004E4308">
        <w:rPr>
          <w:rFonts w:ascii="Arial" w:hAnsi="Arial" w:cs="Arial"/>
        </w:rPr>
        <w:t>aguas superficiales, subterráneas y sedimentos.</w:t>
      </w:r>
      <w:r>
        <w:rPr>
          <w:rFonts w:ascii="Arial" w:hAnsi="Arial" w:cs="Arial"/>
        </w:rPr>
        <w:t xml:space="preserve"> </w:t>
      </w:r>
      <w:r w:rsidRPr="00DB4CD1">
        <w:rPr>
          <w:rFonts w:ascii="Arial" w:hAnsi="Arial" w:cs="Arial"/>
        </w:rPr>
        <w:t>Recolección de muestras</w:t>
      </w:r>
      <w:r>
        <w:rPr>
          <w:rFonts w:ascii="Arial" w:hAnsi="Arial" w:cs="Arial"/>
        </w:rPr>
        <w:t>,</w:t>
      </w:r>
      <w:r w:rsidRPr="00DB4CD1">
        <w:rPr>
          <w:rFonts w:ascii="Arial" w:hAnsi="Arial" w:cs="Arial"/>
        </w:rPr>
        <w:t xml:space="preserve"> traslado, conservación y acondicionamiento</w:t>
      </w:r>
      <w:r>
        <w:rPr>
          <w:rFonts w:ascii="Arial" w:hAnsi="Arial" w:cs="Arial"/>
        </w:rPr>
        <w:t>.</w:t>
      </w:r>
    </w:p>
    <w:p w:rsidR="00B14E15" w:rsidRPr="00DB4CD1" w:rsidRDefault="00B14E15" w:rsidP="00B14E15">
      <w:pPr>
        <w:pStyle w:val="toc-chaptitle"/>
        <w:spacing w:before="0" w:after="0"/>
        <w:jc w:val="both"/>
        <w:rPr>
          <w:rFonts w:ascii="Arial" w:hAnsi="Arial" w:cs="Arial"/>
          <w:bCs/>
        </w:rPr>
      </w:pPr>
    </w:p>
    <w:p w:rsidR="00B14E15" w:rsidRPr="00FA697A" w:rsidRDefault="00B14E15" w:rsidP="00B14E15">
      <w:pPr>
        <w:pStyle w:val="toc-chaptitle"/>
        <w:spacing w:before="0" w:after="0"/>
        <w:jc w:val="both"/>
        <w:rPr>
          <w:rFonts w:ascii="Arial" w:hAnsi="Arial" w:cs="Arial"/>
          <w:bCs/>
        </w:rPr>
      </w:pPr>
      <w:r w:rsidRPr="004E4308">
        <w:rPr>
          <w:rFonts w:ascii="Arial" w:hAnsi="Arial" w:cs="Arial"/>
          <w:b/>
          <w:bCs/>
        </w:rPr>
        <w:t xml:space="preserve">Unidad Teórica </w:t>
      </w:r>
      <w:r>
        <w:rPr>
          <w:rFonts w:ascii="Arial" w:hAnsi="Arial" w:cs="Arial"/>
          <w:b/>
          <w:bCs/>
        </w:rPr>
        <w:t xml:space="preserve">3: </w:t>
      </w:r>
      <w:r w:rsidRPr="00FA697A">
        <w:rPr>
          <w:rFonts w:ascii="Arial" w:hAnsi="Arial" w:cs="Arial"/>
          <w:b/>
          <w:bCs/>
        </w:rPr>
        <w:t>Ecotoxicología</w:t>
      </w:r>
    </w:p>
    <w:p w:rsidR="00B14E15" w:rsidRPr="00FA697A" w:rsidRDefault="00B14E15" w:rsidP="00B14E15">
      <w:pPr>
        <w:pStyle w:val="toc-chaptitle"/>
        <w:spacing w:before="0" w:after="0"/>
        <w:jc w:val="both"/>
        <w:rPr>
          <w:rFonts w:ascii="Arial" w:hAnsi="Arial" w:cs="Arial"/>
          <w:bCs/>
        </w:rPr>
      </w:pPr>
      <w:r w:rsidRPr="006E739E">
        <w:rPr>
          <w:rFonts w:ascii="Arial" w:hAnsi="Arial" w:cs="Arial"/>
          <w:bCs/>
        </w:rPr>
        <w:t xml:space="preserve">Definiciones: </w:t>
      </w:r>
      <w:r>
        <w:rPr>
          <w:rFonts w:ascii="Arial" w:hAnsi="Arial" w:cs="Arial"/>
          <w:bCs/>
        </w:rPr>
        <w:t>u</w:t>
      </w:r>
      <w:r w:rsidRPr="008F66BE">
        <w:rPr>
          <w:rFonts w:ascii="Arial" w:hAnsi="Arial" w:cs="Arial"/>
          <w:bCs/>
        </w:rPr>
        <w:t xml:space="preserve">nidades </w:t>
      </w:r>
      <w:r>
        <w:rPr>
          <w:rFonts w:ascii="Arial" w:hAnsi="Arial" w:cs="Arial"/>
          <w:bCs/>
        </w:rPr>
        <w:t>t</w:t>
      </w:r>
      <w:r w:rsidRPr="008F66BE">
        <w:rPr>
          <w:rFonts w:ascii="Arial" w:hAnsi="Arial" w:cs="Arial"/>
          <w:bCs/>
        </w:rPr>
        <w:t xml:space="preserve">óxicas, </w:t>
      </w:r>
      <w:r>
        <w:rPr>
          <w:rFonts w:ascii="Arial" w:hAnsi="Arial" w:cs="Arial"/>
          <w:bCs/>
        </w:rPr>
        <w:t>c</w:t>
      </w:r>
      <w:r w:rsidRPr="008F66BE">
        <w:rPr>
          <w:rFonts w:ascii="Arial" w:hAnsi="Arial" w:cs="Arial"/>
          <w:bCs/>
        </w:rPr>
        <w:t xml:space="preserve">oncentración </w:t>
      </w:r>
      <w:r>
        <w:rPr>
          <w:rFonts w:ascii="Arial" w:hAnsi="Arial" w:cs="Arial"/>
          <w:bCs/>
        </w:rPr>
        <w:t>e</w:t>
      </w:r>
      <w:r w:rsidRPr="008F66BE">
        <w:rPr>
          <w:rFonts w:ascii="Arial" w:hAnsi="Arial" w:cs="Arial"/>
          <w:bCs/>
        </w:rPr>
        <w:t>fectiva 50</w:t>
      </w:r>
      <w:r>
        <w:rPr>
          <w:rFonts w:ascii="Arial" w:hAnsi="Arial" w:cs="Arial"/>
          <w:bCs/>
        </w:rPr>
        <w:t xml:space="preserve"> (CE50)</w:t>
      </w:r>
      <w:r w:rsidRPr="008F66BE">
        <w:rPr>
          <w:rFonts w:ascii="Arial" w:hAnsi="Arial" w:cs="Arial"/>
          <w:bCs/>
        </w:rPr>
        <w:t xml:space="preserve">, </w:t>
      </w:r>
      <w:r>
        <w:rPr>
          <w:rFonts w:ascii="Arial" w:hAnsi="Arial" w:cs="Arial"/>
          <w:bCs/>
        </w:rPr>
        <w:t>c</w:t>
      </w:r>
      <w:r w:rsidRPr="008F66BE">
        <w:rPr>
          <w:rFonts w:ascii="Arial" w:hAnsi="Arial" w:cs="Arial"/>
          <w:bCs/>
        </w:rPr>
        <w:t xml:space="preserve">oncentración </w:t>
      </w:r>
      <w:r>
        <w:rPr>
          <w:rFonts w:ascii="Arial" w:hAnsi="Arial" w:cs="Arial"/>
          <w:bCs/>
        </w:rPr>
        <w:t>l</w:t>
      </w:r>
      <w:r w:rsidRPr="008F66BE">
        <w:rPr>
          <w:rFonts w:ascii="Arial" w:hAnsi="Arial" w:cs="Arial"/>
          <w:bCs/>
        </w:rPr>
        <w:t>etal 50</w:t>
      </w:r>
      <w:r>
        <w:rPr>
          <w:rFonts w:ascii="Arial" w:hAnsi="Arial" w:cs="Arial"/>
          <w:bCs/>
        </w:rPr>
        <w:t xml:space="preserve"> (CL50). </w:t>
      </w:r>
      <w:r w:rsidRPr="00FA697A">
        <w:rPr>
          <w:rFonts w:ascii="Arial" w:hAnsi="Arial" w:cs="Arial"/>
          <w:bCs/>
        </w:rPr>
        <w:t>Comportamiento de los contaminantes en el ambiente</w:t>
      </w:r>
      <w:r>
        <w:rPr>
          <w:rFonts w:ascii="Arial" w:hAnsi="Arial" w:cs="Arial"/>
          <w:bCs/>
        </w:rPr>
        <w:t xml:space="preserve">. </w:t>
      </w:r>
      <w:r w:rsidRPr="00FA697A">
        <w:rPr>
          <w:rFonts w:ascii="Arial" w:hAnsi="Arial" w:cs="Arial"/>
          <w:bCs/>
        </w:rPr>
        <w:t>Biodisponibilidad</w:t>
      </w:r>
      <w:r>
        <w:rPr>
          <w:rFonts w:ascii="Arial" w:hAnsi="Arial" w:cs="Arial"/>
          <w:bCs/>
        </w:rPr>
        <w:t>, persistencia, b</w:t>
      </w:r>
      <w:r w:rsidRPr="00FA697A">
        <w:rPr>
          <w:rFonts w:ascii="Arial" w:hAnsi="Arial" w:cs="Arial"/>
          <w:bCs/>
        </w:rPr>
        <w:t>ioacumulación</w:t>
      </w:r>
      <w:r>
        <w:rPr>
          <w:rFonts w:ascii="Arial" w:hAnsi="Arial" w:cs="Arial"/>
          <w:bCs/>
        </w:rPr>
        <w:t>, b</w:t>
      </w:r>
      <w:r w:rsidRPr="00FA697A">
        <w:rPr>
          <w:rFonts w:ascii="Arial" w:hAnsi="Arial" w:cs="Arial"/>
          <w:bCs/>
        </w:rPr>
        <w:t>ioconcentración</w:t>
      </w:r>
      <w:r>
        <w:rPr>
          <w:rFonts w:ascii="Arial" w:hAnsi="Arial" w:cs="Arial"/>
          <w:bCs/>
        </w:rPr>
        <w:t>, b</w:t>
      </w:r>
      <w:r w:rsidRPr="00FA697A">
        <w:rPr>
          <w:rFonts w:ascii="Arial" w:hAnsi="Arial" w:cs="Arial"/>
          <w:bCs/>
        </w:rPr>
        <w:t>iomagnificación</w:t>
      </w:r>
      <w:r>
        <w:rPr>
          <w:rFonts w:ascii="Arial" w:hAnsi="Arial" w:cs="Arial"/>
          <w:bCs/>
        </w:rPr>
        <w:t xml:space="preserve">. </w:t>
      </w:r>
      <w:r w:rsidRPr="00FA697A">
        <w:rPr>
          <w:rFonts w:ascii="Arial" w:hAnsi="Arial" w:cs="Arial"/>
          <w:bCs/>
        </w:rPr>
        <w:t>Efectos biológicos inducidos por los contaminantes ambientales</w:t>
      </w:r>
      <w:r w:rsidRPr="006E739E">
        <w:rPr>
          <w:rFonts w:ascii="Arial" w:hAnsi="Arial" w:cs="Arial"/>
          <w:bCs/>
        </w:rPr>
        <w:t xml:space="preserve"> </w:t>
      </w:r>
      <w:r>
        <w:rPr>
          <w:rFonts w:ascii="Arial" w:hAnsi="Arial" w:cs="Arial"/>
          <w:bCs/>
        </w:rPr>
        <w:t xml:space="preserve">sobre organismos, poblaciones, comunidades y ecosistemas. </w:t>
      </w:r>
      <w:r w:rsidRPr="00FA697A">
        <w:rPr>
          <w:rFonts w:ascii="Arial" w:hAnsi="Arial" w:cs="Arial"/>
          <w:bCs/>
        </w:rPr>
        <w:t>Curvas Dosis Respuesta</w:t>
      </w:r>
      <w:r>
        <w:rPr>
          <w:rFonts w:ascii="Arial" w:hAnsi="Arial" w:cs="Arial"/>
          <w:bCs/>
        </w:rPr>
        <w:t xml:space="preserve">. </w:t>
      </w:r>
    </w:p>
    <w:p w:rsidR="00B14E15" w:rsidRPr="00FA697A" w:rsidRDefault="00B14E15" w:rsidP="00B14E15">
      <w:pPr>
        <w:pStyle w:val="toc-chaptitle"/>
        <w:spacing w:before="0" w:after="0"/>
        <w:jc w:val="both"/>
        <w:rPr>
          <w:rFonts w:ascii="Arial" w:hAnsi="Arial" w:cs="Arial"/>
          <w:bCs/>
        </w:rPr>
      </w:pPr>
    </w:p>
    <w:p w:rsidR="00B14E15" w:rsidRPr="00DB4CD1" w:rsidRDefault="00B14E15" w:rsidP="00B14E15">
      <w:pPr>
        <w:pStyle w:val="toc-chaptitle"/>
        <w:spacing w:before="0" w:after="0"/>
        <w:jc w:val="both"/>
        <w:rPr>
          <w:rFonts w:ascii="Arial" w:hAnsi="Arial" w:cs="Arial"/>
          <w:b/>
          <w:iCs/>
        </w:rPr>
      </w:pPr>
      <w:r w:rsidRPr="00DB4CD1">
        <w:rPr>
          <w:rFonts w:ascii="Arial" w:hAnsi="Arial" w:cs="Arial"/>
          <w:b/>
          <w:bCs/>
        </w:rPr>
        <w:t xml:space="preserve">Unidad Teórica 4: </w:t>
      </w:r>
      <w:r w:rsidRPr="00FA697A">
        <w:rPr>
          <w:rFonts w:ascii="Arial" w:hAnsi="Arial" w:cs="Arial"/>
          <w:b/>
          <w:iCs/>
        </w:rPr>
        <w:t>Evaluación de Riesgo Ecotoxicológico</w:t>
      </w:r>
    </w:p>
    <w:p w:rsidR="00B14E15" w:rsidRPr="004E4308" w:rsidRDefault="00B14E15" w:rsidP="00B14E15">
      <w:pPr>
        <w:pStyle w:val="toc-chaptitle"/>
        <w:spacing w:before="0" w:after="0"/>
        <w:jc w:val="both"/>
        <w:rPr>
          <w:rFonts w:ascii="Arial" w:hAnsi="Arial" w:cs="Arial"/>
          <w:bCs/>
          <w:lang w:val="es-MX"/>
        </w:rPr>
      </w:pPr>
      <w:r w:rsidRPr="00DB4CD1">
        <w:rPr>
          <w:rFonts w:ascii="Arial" w:hAnsi="Arial" w:cs="Arial"/>
          <w:bCs/>
          <w:lang w:val="es-MX"/>
        </w:rPr>
        <w:t xml:space="preserve">Esquema general de la evaluación de Riesgo; Identificación del peligro; Evaluación de la exposición Evaluación dosis-respuesta </w:t>
      </w:r>
      <w:r w:rsidRPr="00DB4CD1">
        <w:rPr>
          <w:rFonts w:ascii="Arial" w:hAnsi="Arial" w:cs="Arial"/>
          <w:bCs/>
        </w:rPr>
        <w:t>NOEC</w:t>
      </w:r>
      <w:r>
        <w:rPr>
          <w:rFonts w:ascii="Arial" w:hAnsi="Arial" w:cs="Arial"/>
          <w:bCs/>
        </w:rPr>
        <w:t>,</w:t>
      </w:r>
      <w:r w:rsidRPr="00DB4CD1">
        <w:rPr>
          <w:rFonts w:ascii="Arial" w:hAnsi="Arial" w:cs="Arial"/>
          <w:bCs/>
        </w:rPr>
        <w:t xml:space="preserve"> LOEC.</w:t>
      </w:r>
      <w:r>
        <w:rPr>
          <w:rFonts w:ascii="Arial" w:hAnsi="Arial" w:cs="Arial"/>
          <w:bCs/>
        </w:rPr>
        <w:t xml:space="preserve"> </w:t>
      </w:r>
      <w:r w:rsidRPr="00DB4CD1">
        <w:rPr>
          <w:rFonts w:ascii="Arial" w:hAnsi="Arial" w:cs="Arial"/>
          <w:bCs/>
          <w:lang w:val="es-MX"/>
        </w:rPr>
        <w:t>Caracterización del riesgo; Manejo del Riesgo.</w:t>
      </w:r>
    </w:p>
    <w:p w:rsidR="00B14E15" w:rsidRPr="004E4308" w:rsidRDefault="00B14E15" w:rsidP="00B14E15">
      <w:pPr>
        <w:pStyle w:val="toc-chaptitle"/>
        <w:spacing w:before="0" w:after="0"/>
        <w:jc w:val="both"/>
        <w:rPr>
          <w:rFonts w:ascii="Arial" w:hAnsi="Arial" w:cs="Arial"/>
          <w:b/>
          <w:bCs/>
        </w:rPr>
      </w:pPr>
    </w:p>
    <w:p w:rsidR="00B14E15" w:rsidRDefault="00B14E15" w:rsidP="00B14E15">
      <w:pPr>
        <w:pStyle w:val="toc-subchapterhead"/>
        <w:spacing w:before="0" w:after="0"/>
        <w:jc w:val="both"/>
        <w:rPr>
          <w:rFonts w:ascii="Arial" w:hAnsi="Arial" w:cs="Arial"/>
          <w:b/>
        </w:rPr>
      </w:pPr>
      <w:r w:rsidRPr="007E54D3">
        <w:rPr>
          <w:rFonts w:ascii="Arial" w:hAnsi="Arial" w:cs="Arial"/>
          <w:b/>
        </w:rPr>
        <w:t xml:space="preserve">Unidad Teórica </w:t>
      </w:r>
      <w:r>
        <w:rPr>
          <w:rFonts w:ascii="Arial" w:hAnsi="Arial" w:cs="Arial"/>
          <w:b/>
        </w:rPr>
        <w:t>5</w:t>
      </w:r>
      <w:r w:rsidRPr="007E54D3">
        <w:rPr>
          <w:rFonts w:ascii="Arial" w:hAnsi="Arial" w:cs="Arial"/>
          <w:b/>
        </w:rPr>
        <w:t xml:space="preserve">: Interpretación y manejo de resultados. </w:t>
      </w:r>
    </w:p>
    <w:p w:rsidR="00B14E15" w:rsidRPr="004E4308" w:rsidRDefault="00B14E15" w:rsidP="00B14E15">
      <w:pPr>
        <w:pStyle w:val="toc-subchapterhead"/>
        <w:spacing w:before="0" w:after="0"/>
        <w:jc w:val="both"/>
        <w:rPr>
          <w:rFonts w:ascii="Arial" w:hAnsi="Arial" w:cs="Arial"/>
          <w:iCs/>
        </w:rPr>
      </w:pPr>
      <w:r w:rsidRPr="007E54D3">
        <w:rPr>
          <w:rFonts w:ascii="Arial" w:hAnsi="Arial" w:cs="Arial"/>
        </w:rPr>
        <w:t xml:space="preserve">Control de calidad en los ensayos de toxicidad, el uso de cartas control; </w:t>
      </w:r>
      <w:r w:rsidRPr="007E54D3">
        <w:rPr>
          <w:rFonts w:ascii="Arial" w:hAnsi="Arial" w:cs="Arial"/>
          <w:iCs/>
        </w:rPr>
        <w:t>Extrapolación de resultados de toxicidad; Unidades de toxicidad y emisiones tóxicas; Estrategia del "peso de la evidencia"; Índices de toxicidad; Relaciones estructura actividad (SAR); Datos problemáticos.</w:t>
      </w:r>
    </w:p>
    <w:p w:rsidR="00B14E15" w:rsidRPr="004E4308" w:rsidRDefault="00B14E15" w:rsidP="00B14E15">
      <w:pPr>
        <w:pStyle w:val="toc-chaptitle"/>
        <w:spacing w:before="0" w:after="0"/>
        <w:jc w:val="both"/>
        <w:rPr>
          <w:rFonts w:ascii="Arial" w:hAnsi="Arial" w:cs="Arial"/>
          <w:bCs/>
        </w:rPr>
      </w:pPr>
    </w:p>
    <w:p w:rsidR="00B14E15" w:rsidRPr="004E4308" w:rsidRDefault="00B14E15" w:rsidP="00B14E15">
      <w:pPr>
        <w:pStyle w:val="toc-subchapterhead"/>
        <w:spacing w:before="0" w:after="0"/>
        <w:jc w:val="both"/>
        <w:rPr>
          <w:rFonts w:ascii="Arial" w:hAnsi="Arial" w:cs="Arial"/>
          <w:b/>
          <w:i/>
        </w:rPr>
      </w:pPr>
      <w:r w:rsidRPr="004E4308">
        <w:rPr>
          <w:rFonts w:ascii="Arial" w:hAnsi="Arial" w:cs="Arial"/>
          <w:b/>
        </w:rPr>
        <w:t xml:space="preserve">Unidad práctica </w:t>
      </w:r>
      <w:r>
        <w:rPr>
          <w:rFonts w:ascii="Arial" w:hAnsi="Arial" w:cs="Arial"/>
          <w:b/>
        </w:rPr>
        <w:t>1</w:t>
      </w:r>
      <w:r w:rsidRPr="004E4308">
        <w:rPr>
          <w:rFonts w:ascii="Arial" w:hAnsi="Arial" w:cs="Arial"/>
          <w:b/>
        </w:rPr>
        <w:t xml:space="preserve">: </w:t>
      </w:r>
      <w:r w:rsidRPr="004E4308">
        <w:rPr>
          <w:rFonts w:ascii="Arial" w:hAnsi="Arial" w:cs="Arial"/>
          <w:b/>
          <w:iCs/>
        </w:rPr>
        <w:t>Ensayo de toxicidad aguda con</w:t>
      </w:r>
      <w:r w:rsidRPr="004E4308">
        <w:rPr>
          <w:rFonts w:ascii="Arial" w:hAnsi="Arial" w:cs="Arial"/>
          <w:b/>
        </w:rPr>
        <w:t xml:space="preserve"> </w:t>
      </w:r>
      <w:r w:rsidRPr="004E4308">
        <w:rPr>
          <w:rFonts w:ascii="Arial" w:hAnsi="Arial" w:cs="Arial"/>
          <w:b/>
          <w:i/>
        </w:rPr>
        <w:t>Daphnia magna</w:t>
      </w:r>
    </w:p>
    <w:p w:rsidR="00B14E15" w:rsidRPr="004E4308" w:rsidRDefault="00B14E15" w:rsidP="00B14E15">
      <w:pPr>
        <w:pStyle w:val="toc-subchapterhead"/>
        <w:spacing w:before="0" w:after="0"/>
        <w:jc w:val="both"/>
        <w:rPr>
          <w:rFonts w:ascii="Arial" w:hAnsi="Arial" w:cs="Arial"/>
        </w:rPr>
      </w:pPr>
      <w:r w:rsidRPr="004E4308">
        <w:rPr>
          <w:rFonts w:ascii="Arial" w:hAnsi="Arial" w:cs="Arial"/>
        </w:rPr>
        <w:t>Principio; Reactivos y materiales;</w:t>
      </w:r>
      <w:r>
        <w:rPr>
          <w:rFonts w:ascii="Arial" w:hAnsi="Arial" w:cs="Arial"/>
        </w:rPr>
        <w:t xml:space="preserve"> Uso de </w:t>
      </w:r>
      <w:r w:rsidRPr="00F22774">
        <w:rPr>
          <w:rFonts w:ascii="Arial" w:hAnsi="Arial" w:cs="Arial"/>
          <w:i/>
        </w:rPr>
        <w:t>Selenastrum capricornutum</w:t>
      </w:r>
      <w:r w:rsidRPr="00F22774">
        <w:rPr>
          <w:rFonts w:ascii="Arial" w:hAnsi="Arial" w:cs="Arial"/>
        </w:rPr>
        <w:t xml:space="preserve"> (</w:t>
      </w:r>
      <w:r w:rsidRPr="00F22774">
        <w:rPr>
          <w:rFonts w:ascii="Arial" w:hAnsi="Arial" w:cs="Arial"/>
          <w:i/>
        </w:rPr>
        <w:t>Pseudokirchneriella subcapitata</w:t>
      </w:r>
      <w:r w:rsidRPr="00F22774">
        <w:rPr>
          <w:rFonts w:ascii="Arial" w:hAnsi="Arial" w:cs="Arial"/>
        </w:rPr>
        <w:t xml:space="preserve">) como </w:t>
      </w:r>
      <w:r>
        <w:rPr>
          <w:rFonts w:ascii="Arial" w:hAnsi="Arial" w:cs="Arial"/>
        </w:rPr>
        <w:t xml:space="preserve">fuente de </w:t>
      </w:r>
      <w:r w:rsidRPr="00F22774">
        <w:rPr>
          <w:rFonts w:ascii="Arial" w:hAnsi="Arial" w:cs="Arial"/>
        </w:rPr>
        <w:t>alimento</w:t>
      </w:r>
      <w:r>
        <w:rPr>
          <w:rFonts w:ascii="Arial" w:hAnsi="Arial" w:cs="Arial"/>
          <w:b/>
        </w:rPr>
        <w:t xml:space="preserve">. </w:t>
      </w:r>
      <w:r w:rsidRPr="004E4308">
        <w:rPr>
          <w:rFonts w:ascii="Arial" w:hAnsi="Arial" w:cs="Arial"/>
        </w:rPr>
        <w:t xml:space="preserve">Principio del método de </w:t>
      </w:r>
      <w:r>
        <w:rPr>
          <w:rFonts w:ascii="Arial" w:hAnsi="Arial" w:cs="Arial"/>
        </w:rPr>
        <w:t>conteo</w:t>
      </w:r>
      <w:r w:rsidRPr="004E4308">
        <w:rPr>
          <w:rFonts w:ascii="Arial" w:hAnsi="Arial" w:cs="Arial"/>
        </w:rPr>
        <w:t xml:space="preserve"> celular </w:t>
      </w:r>
      <w:r>
        <w:rPr>
          <w:rFonts w:ascii="Arial" w:hAnsi="Arial" w:cs="Arial"/>
        </w:rPr>
        <w:t xml:space="preserve">con cámara de </w:t>
      </w:r>
      <w:r w:rsidRPr="004E4308">
        <w:rPr>
          <w:rFonts w:ascii="Arial" w:hAnsi="Arial" w:cs="Arial"/>
        </w:rPr>
        <w:t>Neubauer</w:t>
      </w:r>
      <w:r>
        <w:rPr>
          <w:rFonts w:ascii="Arial" w:hAnsi="Arial" w:cs="Arial"/>
        </w:rPr>
        <w:t>. P</w:t>
      </w:r>
      <w:r w:rsidRPr="004E4308">
        <w:rPr>
          <w:rFonts w:ascii="Arial" w:hAnsi="Arial" w:cs="Arial"/>
        </w:rPr>
        <w:t>rocedimiento para el desarrollo de la prueba; Expresión y análisis e interpretación de resultados</w:t>
      </w:r>
    </w:p>
    <w:p w:rsidR="00B14E15" w:rsidRPr="004E4308" w:rsidRDefault="00B14E15" w:rsidP="00B14E15">
      <w:pPr>
        <w:pStyle w:val="toc-subchapterhead"/>
        <w:spacing w:before="0" w:after="0"/>
        <w:jc w:val="both"/>
        <w:rPr>
          <w:rFonts w:ascii="Arial" w:hAnsi="Arial" w:cs="Arial"/>
          <w:b/>
        </w:rPr>
      </w:pPr>
    </w:p>
    <w:p w:rsidR="00B14E15" w:rsidRPr="004E4308" w:rsidRDefault="00B14E15" w:rsidP="00B14E15">
      <w:pPr>
        <w:pStyle w:val="toc-subchapterhead"/>
        <w:spacing w:before="0" w:after="0"/>
        <w:jc w:val="both"/>
        <w:rPr>
          <w:rFonts w:ascii="Arial" w:hAnsi="Arial" w:cs="Arial"/>
          <w:b/>
          <w:iCs/>
        </w:rPr>
      </w:pPr>
      <w:r w:rsidRPr="004E4308">
        <w:rPr>
          <w:rFonts w:ascii="Arial" w:hAnsi="Arial" w:cs="Arial"/>
          <w:b/>
        </w:rPr>
        <w:t xml:space="preserve">Unidad práctica </w:t>
      </w:r>
      <w:r>
        <w:rPr>
          <w:rFonts w:ascii="Arial" w:hAnsi="Arial" w:cs="Arial"/>
          <w:b/>
        </w:rPr>
        <w:t>2</w:t>
      </w:r>
      <w:r w:rsidRPr="004E4308">
        <w:rPr>
          <w:rFonts w:ascii="Arial" w:hAnsi="Arial" w:cs="Arial"/>
          <w:b/>
        </w:rPr>
        <w:t xml:space="preserve">: </w:t>
      </w:r>
      <w:r w:rsidRPr="004E4308">
        <w:rPr>
          <w:rFonts w:ascii="Arial" w:hAnsi="Arial" w:cs="Arial"/>
          <w:b/>
          <w:iCs/>
        </w:rPr>
        <w:t>Ensayo de toxicidad aguda con semillas de lechuga</w:t>
      </w:r>
      <w:r w:rsidRPr="004E4308">
        <w:rPr>
          <w:rFonts w:ascii="Arial" w:hAnsi="Arial" w:cs="Arial"/>
          <w:b/>
        </w:rPr>
        <w:t xml:space="preserve"> (</w:t>
      </w:r>
      <w:r w:rsidRPr="004E4308">
        <w:rPr>
          <w:rFonts w:ascii="Arial" w:hAnsi="Arial" w:cs="Arial"/>
          <w:b/>
          <w:i/>
        </w:rPr>
        <w:t>Lactuca sativa</w:t>
      </w:r>
      <w:r w:rsidRPr="004E4308">
        <w:rPr>
          <w:rFonts w:ascii="Arial" w:hAnsi="Arial" w:cs="Arial"/>
          <w:b/>
        </w:rPr>
        <w:t xml:space="preserve"> L</w:t>
      </w:r>
      <w:r w:rsidRPr="004E4308">
        <w:rPr>
          <w:rFonts w:ascii="Arial" w:hAnsi="Arial" w:cs="Arial"/>
          <w:b/>
          <w:iCs/>
        </w:rPr>
        <w:t>)</w:t>
      </w:r>
    </w:p>
    <w:p w:rsidR="00B14E15" w:rsidRPr="004E4308" w:rsidRDefault="00B14E15" w:rsidP="00B14E15">
      <w:pPr>
        <w:pStyle w:val="toc-sub-subchapterhead"/>
        <w:spacing w:before="0" w:after="0"/>
        <w:jc w:val="both"/>
        <w:rPr>
          <w:rFonts w:ascii="Arial" w:hAnsi="Arial" w:cs="Arial"/>
        </w:rPr>
      </w:pPr>
      <w:r w:rsidRPr="004E4308">
        <w:rPr>
          <w:rFonts w:ascii="Arial" w:hAnsi="Arial" w:cs="Arial"/>
        </w:rPr>
        <w:t>Principio; Reactivos y materiales; Procedimiento para el desarrollo de la prueba; Expresión y análisis e interpretación de resultados</w:t>
      </w:r>
    </w:p>
    <w:p w:rsidR="00B14E15" w:rsidRPr="004E4308" w:rsidRDefault="00B14E15" w:rsidP="00B14E15">
      <w:pPr>
        <w:pStyle w:val="toc-subchapterhead"/>
        <w:spacing w:before="0" w:after="0"/>
        <w:jc w:val="both"/>
        <w:rPr>
          <w:rFonts w:ascii="Arial" w:hAnsi="Arial" w:cs="Arial"/>
          <w:b/>
        </w:rPr>
      </w:pPr>
    </w:p>
    <w:p w:rsidR="00B14E15" w:rsidRDefault="00B14E15" w:rsidP="00B14E15">
      <w:pPr>
        <w:pStyle w:val="toc-subchapterhead"/>
        <w:spacing w:before="0" w:after="0"/>
        <w:jc w:val="both"/>
        <w:rPr>
          <w:rFonts w:ascii="Arial" w:hAnsi="Arial" w:cs="Arial"/>
          <w:b/>
        </w:rPr>
      </w:pPr>
    </w:p>
    <w:p w:rsidR="00B14E15" w:rsidRDefault="00B14E15" w:rsidP="00B14E15">
      <w:pPr>
        <w:pStyle w:val="toc-subchapterhead"/>
        <w:spacing w:before="0" w:after="0"/>
        <w:jc w:val="both"/>
        <w:rPr>
          <w:rFonts w:ascii="Arial" w:hAnsi="Arial" w:cs="Arial"/>
        </w:rPr>
      </w:pPr>
      <w:r w:rsidRPr="004E4308">
        <w:rPr>
          <w:rFonts w:ascii="Arial" w:hAnsi="Arial" w:cs="Arial"/>
          <w:b/>
        </w:rPr>
        <w:lastRenderedPageBreak/>
        <w:t xml:space="preserve">Unidad práctica </w:t>
      </w:r>
      <w:r>
        <w:rPr>
          <w:rFonts w:ascii="Arial" w:hAnsi="Arial" w:cs="Arial"/>
          <w:b/>
        </w:rPr>
        <w:t>3</w:t>
      </w:r>
      <w:r w:rsidRPr="004E4308">
        <w:rPr>
          <w:rFonts w:ascii="Arial" w:hAnsi="Arial" w:cs="Arial"/>
          <w:b/>
        </w:rPr>
        <w:t xml:space="preserve">: </w:t>
      </w:r>
      <w:r w:rsidRPr="004E4308">
        <w:rPr>
          <w:rFonts w:ascii="Arial" w:hAnsi="Arial" w:cs="Arial"/>
          <w:b/>
          <w:iCs/>
        </w:rPr>
        <w:t>Ensayo de toxicidad aguda (efectos letales y subletales) con</w:t>
      </w:r>
      <w:r w:rsidRPr="004E4308">
        <w:rPr>
          <w:rFonts w:ascii="Arial" w:hAnsi="Arial" w:cs="Arial"/>
          <w:b/>
        </w:rPr>
        <w:t xml:space="preserve"> </w:t>
      </w:r>
      <w:r w:rsidRPr="004E4308">
        <w:rPr>
          <w:rFonts w:ascii="Arial" w:hAnsi="Arial" w:cs="Arial"/>
          <w:b/>
          <w:i/>
        </w:rPr>
        <w:t>Hydra sp.</w:t>
      </w:r>
      <w:r>
        <w:rPr>
          <w:rFonts w:ascii="Arial" w:hAnsi="Arial" w:cs="Arial"/>
          <w:b/>
          <w:i/>
        </w:rPr>
        <w:t xml:space="preserve"> </w:t>
      </w:r>
      <w:r w:rsidRPr="004E4308">
        <w:rPr>
          <w:rFonts w:ascii="Arial" w:hAnsi="Arial" w:cs="Arial"/>
        </w:rPr>
        <w:t>Principio; Reactivos y materiales; Procedimiento para el desarrollo de la prueba</w:t>
      </w:r>
      <w:r>
        <w:rPr>
          <w:rFonts w:ascii="Arial" w:hAnsi="Arial" w:cs="Arial"/>
        </w:rPr>
        <w:t>.</w:t>
      </w:r>
      <w:r w:rsidRPr="004E4308">
        <w:rPr>
          <w:rFonts w:ascii="Arial" w:hAnsi="Arial" w:cs="Arial"/>
        </w:rPr>
        <w:t xml:space="preserve"> Expresión y análisis e interpretación de resultados</w:t>
      </w:r>
      <w:r>
        <w:rPr>
          <w:rFonts w:ascii="Arial" w:hAnsi="Arial" w:cs="Arial"/>
        </w:rPr>
        <w:t>.</w:t>
      </w:r>
    </w:p>
    <w:p w:rsidR="00B14E15" w:rsidRPr="004E4308" w:rsidRDefault="00B14E15" w:rsidP="00B14E15">
      <w:pPr>
        <w:pStyle w:val="toc-sub-subchapterhead"/>
        <w:spacing w:before="0" w:after="0"/>
        <w:jc w:val="both"/>
        <w:rPr>
          <w:rFonts w:ascii="Arial" w:hAnsi="Arial" w:cs="Arial"/>
        </w:rPr>
      </w:pPr>
    </w:p>
    <w:p w:rsidR="00B14E15" w:rsidRPr="004E4308" w:rsidRDefault="00B14E15" w:rsidP="00B14E15">
      <w:pPr>
        <w:pStyle w:val="toc-subchapterhead"/>
        <w:spacing w:before="0" w:after="0"/>
        <w:jc w:val="both"/>
        <w:rPr>
          <w:rFonts w:ascii="Arial" w:hAnsi="Arial" w:cs="Arial"/>
        </w:rPr>
      </w:pPr>
      <w:r w:rsidRPr="004E4308">
        <w:rPr>
          <w:rFonts w:ascii="Arial" w:hAnsi="Arial" w:cs="Arial"/>
          <w:b/>
        </w:rPr>
        <w:t xml:space="preserve">Unidad práctica </w:t>
      </w:r>
      <w:r>
        <w:rPr>
          <w:rFonts w:ascii="Arial" w:hAnsi="Arial" w:cs="Arial"/>
          <w:b/>
        </w:rPr>
        <w:t>4</w:t>
      </w:r>
      <w:r w:rsidRPr="004E4308">
        <w:rPr>
          <w:rFonts w:ascii="Arial" w:hAnsi="Arial" w:cs="Arial"/>
          <w:b/>
        </w:rPr>
        <w:t xml:space="preserve">: </w:t>
      </w:r>
      <w:r w:rsidRPr="008E610C">
        <w:rPr>
          <w:rFonts w:ascii="Arial" w:hAnsi="Arial" w:cs="Arial"/>
          <w:b/>
        </w:rPr>
        <w:t>Ensayo de toxicidad con lombrices</w:t>
      </w:r>
      <w:r>
        <w:rPr>
          <w:rFonts w:ascii="Arial" w:hAnsi="Arial" w:cs="Arial"/>
          <w:b/>
        </w:rPr>
        <w:t xml:space="preserve"> (selección de sustrato)</w:t>
      </w:r>
    </w:p>
    <w:p w:rsidR="00B14E15" w:rsidRPr="004E4308" w:rsidRDefault="00B14E15" w:rsidP="00B14E15">
      <w:pPr>
        <w:pStyle w:val="toc-sub-subchapterhead"/>
        <w:spacing w:before="0" w:after="0"/>
        <w:jc w:val="both"/>
        <w:rPr>
          <w:rFonts w:ascii="Arial" w:hAnsi="Arial" w:cs="Arial"/>
        </w:rPr>
      </w:pPr>
      <w:r w:rsidRPr="004E4308">
        <w:rPr>
          <w:rFonts w:ascii="Arial" w:hAnsi="Arial" w:cs="Arial"/>
        </w:rPr>
        <w:t>Principio; Reactivos y materiales; Procedimiento para el desarrollo de la prueba; Expresión y análisis e interpretación de resultados</w:t>
      </w:r>
      <w:r>
        <w:rPr>
          <w:rFonts w:ascii="Arial" w:hAnsi="Arial" w:cs="Arial"/>
        </w:rPr>
        <w:t>.</w:t>
      </w:r>
    </w:p>
    <w:p w:rsidR="00B14E15" w:rsidRDefault="00B14E15" w:rsidP="00B14E15">
      <w:pPr>
        <w:pStyle w:val="toc-subchapterhead"/>
        <w:spacing w:before="0" w:after="0"/>
        <w:jc w:val="both"/>
        <w:rPr>
          <w:rFonts w:ascii="Arial" w:hAnsi="Arial" w:cs="Arial"/>
        </w:rPr>
      </w:pPr>
      <w:r w:rsidRPr="004E4308">
        <w:rPr>
          <w:rFonts w:ascii="Arial" w:hAnsi="Arial" w:cs="Arial"/>
        </w:rPr>
        <w:t xml:space="preserve"> </w:t>
      </w:r>
    </w:p>
    <w:p w:rsidR="00B14E15" w:rsidRDefault="00B14E15" w:rsidP="00B14E15">
      <w:pPr>
        <w:pStyle w:val="toc-subchapterhead"/>
        <w:spacing w:before="0" w:after="0"/>
        <w:ind w:left="710"/>
        <w:jc w:val="both"/>
        <w:rPr>
          <w:rFonts w:ascii="Arial" w:hAnsi="Arial" w:cs="Arial"/>
          <w:b/>
          <w:iCs/>
          <w:lang w:val="en-US"/>
        </w:rPr>
      </w:pPr>
      <w:r>
        <w:rPr>
          <w:rFonts w:ascii="Arial" w:hAnsi="Arial" w:cs="Arial"/>
          <w:b/>
          <w:iCs/>
          <w:lang w:val="en-US"/>
        </w:rPr>
        <w:t>Bibliografía</w:t>
      </w:r>
    </w:p>
    <w:p w:rsidR="00B14E15" w:rsidRPr="00676F7F" w:rsidRDefault="00B14E15" w:rsidP="00B14E15">
      <w:pPr>
        <w:pStyle w:val="toc-subchapterhead"/>
        <w:spacing w:before="0" w:after="0"/>
        <w:jc w:val="both"/>
        <w:rPr>
          <w:rFonts w:ascii="Arial" w:hAnsi="Arial" w:cs="Arial"/>
          <w:iCs/>
          <w:lang w:val="en-US"/>
        </w:rPr>
      </w:pPr>
    </w:p>
    <w:p w:rsidR="00B14E15" w:rsidRPr="00821E30" w:rsidRDefault="00B14E15" w:rsidP="004875CC">
      <w:pPr>
        <w:pStyle w:val="toc-subchapterhead"/>
        <w:spacing w:before="0" w:afterLines="60"/>
        <w:jc w:val="both"/>
        <w:rPr>
          <w:rFonts w:ascii="Arial" w:hAnsi="Arial" w:cs="Arial"/>
          <w:iCs/>
          <w:sz w:val="22"/>
          <w:szCs w:val="22"/>
          <w:lang w:val="en-US"/>
        </w:rPr>
      </w:pPr>
      <w:r w:rsidRPr="00821E30">
        <w:rPr>
          <w:rFonts w:ascii="Arial" w:hAnsi="Arial" w:cs="Arial"/>
          <w:iCs/>
          <w:sz w:val="22"/>
          <w:szCs w:val="22"/>
          <w:lang w:val="en-US"/>
        </w:rPr>
        <w:t>-</w:t>
      </w:r>
      <w:r w:rsidRPr="00821E30">
        <w:rPr>
          <w:rFonts w:ascii="Arial" w:hAnsi="Arial" w:cs="Arial"/>
          <w:iCs/>
          <w:sz w:val="22"/>
          <w:szCs w:val="22"/>
          <w:lang w:val="es-CO"/>
        </w:rPr>
        <w:t xml:space="preserve">Environmental Toxicology. Biological and Health Effects of Pollutants (2011). </w:t>
      </w:r>
      <w:r w:rsidRPr="00821E30">
        <w:rPr>
          <w:rFonts w:ascii="Arial" w:hAnsi="Arial" w:cs="Arial"/>
          <w:iCs/>
          <w:sz w:val="22"/>
          <w:szCs w:val="22"/>
        </w:rPr>
        <w:t xml:space="preserve">Ming-Ho Yu. Humio Tsunoda. </w:t>
      </w:r>
      <w:r w:rsidRPr="00821E30">
        <w:rPr>
          <w:rFonts w:ascii="Arial" w:hAnsi="Arial" w:cs="Arial"/>
          <w:iCs/>
          <w:sz w:val="22"/>
          <w:szCs w:val="22"/>
          <w:lang w:val="es-CO"/>
        </w:rPr>
        <w:t xml:space="preserve">Masashi Tsunoda. </w:t>
      </w:r>
      <w:r w:rsidRPr="00821E30">
        <w:rPr>
          <w:rFonts w:ascii="Arial" w:hAnsi="Arial" w:cs="Arial"/>
          <w:iCs/>
          <w:sz w:val="22"/>
          <w:szCs w:val="22"/>
        </w:rPr>
        <w:t xml:space="preserve">CRC Press. </w:t>
      </w:r>
      <w:r w:rsidRPr="00821E30">
        <w:rPr>
          <w:rFonts w:ascii="Arial" w:hAnsi="Arial" w:cs="Arial"/>
          <w:iCs/>
          <w:sz w:val="22"/>
          <w:szCs w:val="22"/>
          <w:lang w:val="es-CO"/>
        </w:rPr>
        <w:t xml:space="preserve">Taylor &amp; Francis Group. </w:t>
      </w:r>
    </w:p>
    <w:p w:rsidR="00B14E15" w:rsidRPr="00821E30" w:rsidRDefault="00B14E15" w:rsidP="004875CC">
      <w:pPr>
        <w:pStyle w:val="toc-subchapterhead"/>
        <w:spacing w:before="0" w:afterLines="60"/>
        <w:jc w:val="both"/>
        <w:rPr>
          <w:rFonts w:ascii="Arial" w:hAnsi="Arial" w:cs="Arial"/>
          <w:iCs/>
          <w:sz w:val="22"/>
          <w:szCs w:val="22"/>
          <w:lang w:val="en-US"/>
        </w:rPr>
      </w:pPr>
      <w:r w:rsidRPr="00821E30">
        <w:rPr>
          <w:rFonts w:ascii="Arial" w:hAnsi="Arial" w:cs="Arial"/>
          <w:iCs/>
          <w:sz w:val="22"/>
          <w:szCs w:val="22"/>
          <w:lang w:val="en-US"/>
        </w:rPr>
        <w:t>-A Textbook of Modern Toxicology (2004). E. Hogdson. Wiley Interscience 2004.</w:t>
      </w:r>
    </w:p>
    <w:p w:rsidR="00B14E15" w:rsidRPr="00821E30" w:rsidRDefault="00B14E15" w:rsidP="004875CC">
      <w:pPr>
        <w:pStyle w:val="toc-subchapterhead"/>
        <w:spacing w:before="0" w:afterLines="60"/>
        <w:jc w:val="both"/>
        <w:rPr>
          <w:rFonts w:ascii="Arial" w:hAnsi="Arial" w:cs="Arial"/>
          <w:iCs/>
          <w:sz w:val="22"/>
          <w:szCs w:val="22"/>
          <w:lang w:val="en-US"/>
        </w:rPr>
      </w:pPr>
      <w:r w:rsidRPr="00821E30">
        <w:rPr>
          <w:rFonts w:ascii="Arial" w:hAnsi="Arial" w:cs="Arial"/>
          <w:iCs/>
          <w:sz w:val="22"/>
          <w:szCs w:val="22"/>
          <w:lang w:val="en-US"/>
        </w:rPr>
        <w:t xml:space="preserve">-Toxicology. The basic science of poisons (2008). Casarett and Doull’s. Ed. Curtis D. Klaassen, Ph.D. The McGraw-Hill Companies, Inc. USA. </w:t>
      </w:r>
    </w:p>
    <w:p w:rsidR="00B14E15" w:rsidRPr="00821E30" w:rsidRDefault="00B14E15" w:rsidP="004875CC">
      <w:pPr>
        <w:pStyle w:val="toc-subchapterhead"/>
        <w:spacing w:before="0" w:afterLines="60"/>
        <w:jc w:val="both"/>
        <w:rPr>
          <w:rFonts w:ascii="Arial" w:hAnsi="Arial" w:cs="Arial"/>
          <w:iCs/>
          <w:sz w:val="22"/>
          <w:szCs w:val="22"/>
          <w:lang w:val="en-US"/>
        </w:rPr>
      </w:pPr>
      <w:r w:rsidRPr="00821E30">
        <w:rPr>
          <w:rFonts w:ascii="Arial" w:hAnsi="Arial" w:cs="Arial"/>
          <w:iCs/>
          <w:sz w:val="22"/>
          <w:szCs w:val="22"/>
          <w:lang w:val="en-US"/>
        </w:rPr>
        <w:t>-Chemistry of the environment (2002). R. Bailey and H.M. Clarck. Academic Press, Inc.</w:t>
      </w:r>
    </w:p>
    <w:p w:rsidR="00B14E15" w:rsidRPr="00821E30" w:rsidRDefault="00B14E15" w:rsidP="004875CC">
      <w:pPr>
        <w:pStyle w:val="toc-subchapterhead"/>
        <w:spacing w:before="0" w:afterLines="60"/>
        <w:jc w:val="both"/>
        <w:rPr>
          <w:rFonts w:ascii="Arial" w:hAnsi="Arial" w:cs="Arial"/>
          <w:iCs/>
          <w:sz w:val="22"/>
          <w:szCs w:val="22"/>
        </w:rPr>
      </w:pPr>
      <w:r w:rsidRPr="00821E30">
        <w:rPr>
          <w:rFonts w:ascii="Arial" w:hAnsi="Arial" w:cs="Arial"/>
          <w:iCs/>
          <w:sz w:val="22"/>
          <w:szCs w:val="22"/>
          <w:lang w:val="en-US"/>
        </w:rPr>
        <w:t xml:space="preserve">-Detecting Ecological Impacts. Concepts and Applications (1996). Ed. R.J. Schmitt and C.W. Osenberg. </w:t>
      </w:r>
      <w:r w:rsidRPr="00821E30">
        <w:rPr>
          <w:rFonts w:ascii="Arial" w:hAnsi="Arial" w:cs="Arial"/>
          <w:iCs/>
          <w:sz w:val="22"/>
          <w:szCs w:val="22"/>
        </w:rPr>
        <w:t>Elsevier Inc.</w:t>
      </w:r>
    </w:p>
    <w:p w:rsidR="00B14E15" w:rsidRPr="00821E30" w:rsidRDefault="00B14E15" w:rsidP="004875CC">
      <w:pPr>
        <w:pStyle w:val="toc-subchapterhead"/>
        <w:spacing w:before="0" w:afterLines="60"/>
        <w:jc w:val="both"/>
        <w:rPr>
          <w:rFonts w:ascii="Arial" w:hAnsi="Arial" w:cs="Arial"/>
          <w:iCs/>
          <w:sz w:val="22"/>
          <w:szCs w:val="22"/>
          <w:lang w:val="es-AR"/>
        </w:rPr>
      </w:pPr>
      <w:r w:rsidRPr="00821E30">
        <w:rPr>
          <w:rFonts w:ascii="Arial" w:hAnsi="Arial" w:cs="Arial"/>
          <w:iCs/>
          <w:sz w:val="22"/>
          <w:szCs w:val="22"/>
          <w:lang w:val="es-AR"/>
        </w:rPr>
        <w:t>- Ensayos toxicológicos y métodos de evaluación de calidad de aguas (2004). Castillo, Gabriela (editor). Centro Internacional de Investigaciones para el Desarrollo, México.</w:t>
      </w:r>
    </w:p>
    <w:p w:rsidR="00B14E15" w:rsidRPr="00821E30" w:rsidRDefault="00B14E15" w:rsidP="004875CC">
      <w:pPr>
        <w:pStyle w:val="toc-subchapterhead"/>
        <w:spacing w:before="0" w:afterLines="60"/>
        <w:jc w:val="both"/>
        <w:rPr>
          <w:rFonts w:ascii="Arial" w:hAnsi="Arial" w:cs="Arial"/>
          <w:iCs/>
          <w:sz w:val="22"/>
          <w:szCs w:val="22"/>
          <w:lang w:val="en-US"/>
        </w:rPr>
      </w:pPr>
      <w:r w:rsidRPr="00821E30">
        <w:rPr>
          <w:rFonts w:ascii="Arial" w:hAnsi="Arial" w:cs="Arial"/>
          <w:iCs/>
          <w:sz w:val="22"/>
          <w:szCs w:val="22"/>
        </w:rPr>
        <w:t xml:space="preserve">-Ensayos toxicológicos para la evaluación de sustancias químicas en agua y suelo. La experiencia en México (2008). Patricia Ramírez Romero. Ania Mendoza Cantú. </w:t>
      </w:r>
      <w:r w:rsidRPr="00821E30">
        <w:rPr>
          <w:rFonts w:ascii="Arial" w:hAnsi="Arial" w:cs="Arial"/>
          <w:iCs/>
          <w:sz w:val="22"/>
          <w:szCs w:val="22"/>
          <w:lang w:val="en-US"/>
        </w:rPr>
        <w:t xml:space="preserve">Capítulo 4, 55-67. México. </w:t>
      </w:r>
    </w:p>
    <w:p w:rsidR="00B14E15" w:rsidRPr="00821E30" w:rsidRDefault="00B14E15" w:rsidP="004875CC">
      <w:pPr>
        <w:pStyle w:val="toc-subchapterhead"/>
        <w:spacing w:before="0" w:afterLines="60"/>
        <w:jc w:val="both"/>
        <w:rPr>
          <w:rFonts w:ascii="Arial" w:hAnsi="Arial" w:cs="Arial"/>
          <w:iCs/>
          <w:sz w:val="22"/>
          <w:szCs w:val="22"/>
          <w:lang w:val="en-US"/>
        </w:rPr>
      </w:pPr>
      <w:r w:rsidRPr="00821E30">
        <w:rPr>
          <w:rFonts w:ascii="Arial" w:hAnsi="Arial" w:cs="Arial"/>
          <w:iCs/>
          <w:sz w:val="22"/>
          <w:szCs w:val="22"/>
          <w:lang w:val="en-US"/>
        </w:rPr>
        <w:t>-Organization for Economic Cooperation and Development (OECD) (1984). Terrestrial Plants: Growth Test. Guideline for Testing of Chemicals N ° 208. OECD Publications Service, Paris.</w:t>
      </w:r>
    </w:p>
    <w:p w:rsidR="00B14E15" w:rsidRPr="00821E30" w:rsidRDefault="00B14E15" w:rsidP="004875CC">
      <w:pPr>
        <w:pStyle w:val="toc-subchapterhead"/>
        <w:spacing w:before="0" w:afterLines="60"/>
        <w:jc w:val="both"/>
        <w:rPr>
          <w:rFonts w:ascii="Arial" w:hAnsi="Arial" w:cs="Arial"/>
          <w:iCs/>
          <w:sz w:val="22"/>
          <w:szCs w:val="22"/>
          <w:lang w:val="en-US"/>
        </w:rPr>
      </w:pPr>
      <w:r w:rsidRPr="00821E30">
        <w:rPr>
          <w:rFonts w:ascii="Arial" w:hAnsi="Arial" w:cs="Arial"/>
          <w:iCs/>
          <w:sz w:val="22"/>
          <w:szCs w:val="22"/>
          <w:lang w:val="en-US"/>
        </w:rPr>
        <w:t>-United States Environmental Protection Agency (USEPA) (1989). Protocols for short term toxicity screening of hazardous waste sites. US EPA 600/3-88/029, Corvallis.</w:t>
      </w:r>
    </w:p>
    <w:p w:rsidR="00B14E15" w:rsidRPr="00821E30" w:rsidRDefault="00B14E15" w:rsidP="004875CC">
      <w:pPr>
        <w:pStyle w:val="toc-subchapterhead"/>
        <w:spacing w:before="0" w:afterLines="60"/>
        <w:jc w:val="both"/>
        <w:rPr>
          <w:rFonts w:ascii="Arial" w:hAnsi="Arial" w:cs="Arial"/>
          <w:iCs/>
          <w:sz w:val="22"/>
          <w:szCs w:val="22"/>
          <w:lang w:val="en-US"/>
        </w:rPr>
      </w:pPr>
      <w:r w:rsidRPr="00821E30">
        <w:rPr>
          <w:rFonts w:ascii="Arial" w:hAnsi="Arial" w:cs="Arial"/>
          <w:iCs/>
          <w:sz w:val="22"/>
          <w:szCs w:val="22"/>
          <w:lang w:val="en-US"/>
        </w:rPr>
        <w:t>-US EPA 712-C-96-154. (OPPTS 850.4200) (1996). Ecological effects test guidelines. Washington DC.</w:t>
      </w:r>
    </w:p>
    <w:p w:rsidR="00B14E15" w:rsidRPr="00821E30" w:rsidRDefault="00B14E15" w:rsidP="004875CC">
      <w:pPr>
        <w:pStyle w:val="toc-subchapterhead"/>
        <w:spacing w:before="0" w:afterLines="60"/>
        <w:jc w:val="both"/>
        <w:rPr>
          <w:rFonts w:ascii="Arial" w:hAnsi="Arial" w:cs="Arial"/>
          <w:iCs/>
          <w:sz w:val="22"/>
          <w:szCs w:val="22"/>
        </w:rPr>
      </w:pPr>
      <w:r w:rsidRPr="00821E30">
        <w:rPr>
          <w:rFonts w:ascii="Arial" w:hAnsi="Arial" w:cs="Arial"/>
          <w:iCs/>
          <w:sz w:val="22"/>
          <w:szCs w:val="22"/>
          <w:lang w:val="en-US"/>
        </w:rPr>
        <w:t xml:space="preserve">-Métodos EPA 712-C-96-167-(1996). Earthworm subchronic toxicity test, Ecological effects test guidelines. </w:t>
      </w:r>
      <w:r w:rsidRPr="00821E30">
        <w:rPr>
          <w:rFonts w:ascii="Arial" w:hAnsi="Arial" w:cs="Arial"/>
          <w:iCs/>
          <w:sz w:val="22"/>
          <w:szCs w:val="22"/>
        </w:rPr>
        <w:t>Washington DC.</w:t>
      </w:r>
    </w:p>
    <w:p w:rsidR="00B14E15" w:rsidRPr="00821E30" w:rsidRDefault="00B14E15" w:rsidP="004875CC">
      <w:pPr>
        <w:pStyle w:val="toc-subchapterhead"/>
        <w:spacing w:before="0" w:afterLines="60"/>
        <w:jc w:val="both"/>
        <w:rPr>
          <w:rFonts w:ascii="Arial" w:hAnsi="Arial" w:cs="Arial"/>
          <w:iCs/>
          <w:sz w:val="22"/>
          <w:szCs w:val="22"/>
          <w:lang w:val="es-AR"/>
        </w:rPr>
      </w:pPr>
      <w:r w:rsidRPr="00821E30">
        <w:rPr>
          <w:rFonts w:ascii="Arial" w:hAnsi="Arial" w:cs="Arial"/>
          <w:iCs/>
          <w:sz w:val="22"/>
          <w:szCs w:val="22"/>
          <w:lang w:val="es-AR"/>
        </w:rPr>
        <w:t xml:space="preserve">-Norma IRAM, Número 29012, Parte 16 (2003). Guía para el bioensayo de muestras.  </w:t>
      </w:r>
    </w:p>
    <w:p w:rsidR="00B14E15" w:rsidRPr="00821E30" w:rsidRDefault="00B14E15" w:rsidP="004875CC">
      <w:pPr>
        <w:pStyle w:val="toc-subchapterhead"/>
        <w:spacing w:before="0" w:afterLines="60"/>
        <w:jc w:val="both"/>
        <w:rPr>
          <w:rFonts w:ascii="Arial" w:hAnsi="Arial" w:cs="Arial"/>
          <w:i/>
          <w:iCs/>
          <w:sz w:val="22"/>
          <w:szCs w:val="22"/>
          <w:lang w:val="es-CO"/>
        </w:rPr>
      </w:pPr>
      <w:r w:rsidRPr="00821E30">
        <w:rPr>
          <w:rFonts w:ascii="Arial" w:hAnsi="Arial" w:cs="Arial"/>
          <w:iCs/>
          <w:sz w:val="22"/>
          <w:szCs w:val="22"/>
          <w:lang w:val="es-AR"/>
        </w:rPr>
        <w:t>-Norma IRAM, Número 29130 (2004). Determinación de la inhibición de la movilidad de Daphnia magna Strauss (Cladocera, Crustacea).</w:t>
      </w:r>
      <w:r w:rsidRPr="00821E30">
        <w:rPr>
          <w:rFonts w:ascii="Arial" w:hAnsi="Arial" w:cs="Arial"/>
          <w:i/>
          <w:iCs/>
          <w:sz w:val="22"/>
          <w:szCs w:val="22"/>
          <w:lang w:val="es-AR"/>
        </w:rPr>
        <w:t xml:space="preserve"> </w:t>
      </w:r>
    </w:p>
    <w:p w:rsidR="00B14E15" w:rsidRPr="0076243C" w:rsidRDefault="00B14E15" w:rsidP="00B14E15">
      <w:pPr>
        <w:pStyle w:val="toc-subchapterhead"/>
        <w:spacing w:before="0" w:after="0"/>
        <w:ind w:left="720"/>
        <w:jc w:val="both"/>
        <w:rPr>
          <w:rFonts w:ascii="Arial" w:hAnsi="Arial" w:cs="Arial"/>
          <w:iCs/>
          <w:lang w:val="es-CO"/>
        </w:rPr>
      </w:pPr>
    </w:p>
    <w:p w:rsidR="00B14E15" w:rsidRDefault="00B14E15" w:rsidP="00B14E15">
      <w:pPr>
        <w:pStyle w:val="toc-subchapterhead"/>
        <w:spacing w:before="0" w:after="0"/>
        <w:ind w:left="710"/>
        <w:jc w:val="both"/>
        <w:rPr>
          <w:rFonts w:ascii="Arial" w:hAnsi="Arial" w:cs="Arial"/>
          <w:b/>
          <w:iCs/>
        </w:rPr>
      </w:pPr>
    </w:p>
    <w:p w:rsidR="00B14E15" w:rsidRDefault="00B14E15" w:rsidP="00B14E15">
      <w:pPr>
        <w:pStyle w:val="toc-subchapterhead"/>
        <w:spacing w:before="0" w:after="0"/>
        <w:ind w:left="710"/>
        <w:jc w:val="both"/>
        <w:rPr>
          <w:rFonts w:ascii="Arial" w:hAnsi="Arial" w:cs="Arial"/>
          <w:b/>
          <w:iCs/>
        </w:rPr>
      </w:pPr>
      <w:bookmarkStart w:id="0" w:name="_GoBack"/>
      <w:bookmarkEnd w:id="0"/>
      <w:r w:rsidRPr="00A042DF">
        <w:rPr>
          <w:rFonts w:ascii="Arial" w:hAnsi="Arial" w:cs="Arial"/>
          <w:b/>
          <w:iCs/>
        </w:rPr>
        <w:lastRenderedPageBreak/>
        <w:t>Modalidad:</w:t>
      </w:r>
    </w:p>
    <w:p w:rsidR="00B14E15" w:rsidRPr="00A042DF" w:rsidRDefault="00B14E15" w:rsidP="00B14E15">
      <w:pPr>
        <w:pStyle w:val="toc-subchapterhead"/>
        <w:spacing w:before="0" w:after="0"/>
        <w:ind w:left="1070"/>
        <w:jc w:val="both"/>
        <w:rPr>
          <w:rFonts w:ascii="Arial" w:hAnsi="Arial" w:cs="Arial"/>
          <w:b/>
          <w:iCs/>
        </w:rPr>
      </w:pPr>
    </w:p>
    <w:p w:rsidR="00B14E15" w:rsidRPr="00CA7592" w:rsidRDefault="00B14E15" w:rsidP="00B14E15">
      <w:pPr>
        <w:pStyle w:val="toc-subchapterhead"/>
        <w:spacing w:before="0" w:after="0"/>
        <w:jc w:val="both"/>
        <w:rPr>
          <w:rFonts w:ascii="Arial" w:hAnsi="Arial" w:cs="Arial"/>
          <w:iCs/>
        </w:rPr>
      </w:pPr>
      <w:r w:rsidRPr="00CA7592">
        <w:rPr>
          <w:rFonts w:ascii="Arial" w:hAnsi="Arial" w:cs="Arial"/>
          <w:iCs/>
        </w:rPr>
        <w:t xml:space="preserve">Teórico-práctico. Se propone que los participantes, después de la adecuada introducción teórica, desarrollen tareas de laboratorio relacionadas a la implementación, puesta a punto, desempeño e interpretación de bioensayos. </w:t>
      </w:r>
    </w:p>
    <w:p w:rsidR="00B14E15" w:rsidRPr="00CA7592" w:rsidRDefault="00B14E15" w:rsidP="00B14E15">
      <w:pPr>
        <w:pStyle w:val="toc-subchapterhead"/>
        <w:spacing w:before="0" w:after="0"/>
        <w:jc w:val="both"/>
        <w:rPr>
          <w:rFonts w:ascii="Arial" w:hAnsi="Arial" w:cs="Arial"/>
          <w:iCs/>
        </w:rPr>
      </w:pPr>
      <w:r w:rsidRPr="00CA7592">
        <w:rPr>
          <w:rFonts w:ascii="Arial" w:hAnsi="Arial" w:cs="Arial"/>
          <w:iCs/>
        </w:rPr>
        <w:t>Carga horaria: 30 h presenciales y 10 h de elaboración de trabajo final</w:t>
      </w:r>
      <w:r>
        <w:rPr>
          <w:rFonts w:ascii="Arial" w:hAnsi="Arial" w:cs="Arial"/>
          <w:iCs/>
        </w:rPr>
        <w:t>.</w:t>
      </w:r>
    </w:p>
    <w:p w:rsidR="00B14E15" w:rsidRPr="00CA7592" w:rsidRDefault="00B14E15" w:rsidP="00B14E15">
      <w:pPr>
        <w:pStyle w:val="toc-subchapterhead"/>
        <w:spacing w:before="0" w:after="0"/>
        <w:jc w:val="both"/>
        <w:rPr>
          <w:rFonts w:ascii="Arial" w:hAnsi="Arial" w:cs="Arial"/>
          <w:iCs/>
        </w:rPr>
      </w:pPr>
    </w:p>
    <w:p w:rsidR="00B14E15" w:rsidRDefault="00B14E15" w:rsidP="00B14E15">
      <w:pPr>
        <w:pStyle w:val="toc-subchapterhead"/>
        <w:spacing w:before="0" w:after="0"/>
        <w:ind w:left="710"/>
        <w:jc w:val="both"/>
        <w:rPr>
          <w:rFonts w:ascii="Arial" w:hAnsi="Arial" w:cs="Arial"/>
          <w:iCs/>
        </w:rPr>
      </w:pPr>
      <w:r w:rsidRPr="00CA7592">
        <w:rPr>
          <w:rFonts w:ascii="Arial" w:hAnsi="Arial" w:cs="Arial"/>
          <w:b/>
          <w:iCs/>
        </w:rPr>
        <w:t>Cupo</w:t>
      </w:r>
      <w:r>
        <w:rPr>
          <w:rFonts w:ascii="Arial" w:hAnsi="Arial" w:cs="Arial"/>
          <w:iCs/>
        </w:rPr>
        <w:t xml:space="preserve">: </w:t>
      </w:r>
    </w:p>
    <w:p w:rsidR="00B14E15" w:rsidRDefault="00B14E15" w:rsidP="00B14E15">
      <w:pPr>
        <w:pStyle w:val="toc-subchapterhead"/>
        <w:spacing w:before="0" w:after="0"/>
        <w:ind w:left="1070"/>
        <w:jc w:val="both"/>
        <w:rPr>
          <w:rFonts w:ascii="Arial" w:hAnsi="Arial" w:cs="Arial"/>
          <w:iCs/>
        </w:rPr>
      </w:pPr>
    </w:p>
    <w:p w:rsidR="00B14E15" w:rsidRPr="00EE1A39" w:rsidRDefault="00B14E15" w:rsidP="00B14E15">
      <w:pPr>
        <w:pStyle w:val="toc-subchapterhead"/>
        <w:spacing w:before="0" w:after="0"/>
        <w:jc w:val="both"/>
        <w:rPr>
          <w:rFonts w:ascii="Arial" w:hAnsi="Arial" w:cs="Arial"/>
          <w:iCs/>
        </w:rPr>
      </w:pPr>
      <w:r w:rsidRPr="00EE1A39">
        <w:rPr>
          <w:rFonts w:ascii="Arial" w:hAnsi="Arial" w:cs="Arial"/>
          <w:iCs/>
        </w:rPr>
        <w:t xml:space="preserve">20 personas. Se realizará una preinscripción en el correo: </w:t>
      </w:r>
      <w:hyperlink r:id="rId7" w:history="1">
        <w:r w:rsidRPr="00EE1A39">
          <w:rPr>
            <w:rStyle w:val="Hipervnculo"/>
            <w:rFonts w:ascii="Arial" w:hAnsi="Arial" w:cs="Arial"/>
            <w:iCs/>
          </w:rPr>
          <w:t>fsilvialaura@hotmail.com</w:t>
        </w:r>
      </w:hyperlink>
    </w:p>
    <w:p w:rsidR="00B14E15" w:rsidRPr="00CA7592" w:rsidRDefault="00B14E15" w:rsidP="00B14E15">
      <w:pPr>
        <w:pStyle w:val="toc-subchapterhead"/>
        <w:spacing w:before="0" w:after="0"/>
        <w:jc w:val="both"/>
        <w:rPr>
          <w:rFonts w:ascii="Arial" w:hAnsi="Arial" w:cs="Arial"/>
          <w:iCs/>
        </w:rPr>
      </w:pPr>
    </w:p>
    <w:p w:rsidR="00B14E15" w:rsidRDefault="00B14E15" w:rsidP="00B14E15">
      <w:pPr>
        <w:pStyle w:val="toc-subchapterhead"/>
        <w:spacing w:before="0" w:after="0"/>
        <w:ind w:left="710"/>
        <w:jc w:val="both"/>
        <w:rPr>
          <w:rFonts w:ascii="Arial" w:hAnsi="Arial" w:cs="Arial"/>
          <w:iCs/>
        </w:rPr>
      </w:pPr>
      <w:r>
        <w:rPr>
          <w:rFonts w:ascii="Arial" w:hAnsi="Arial" w:cs="Arial"/>
          <w:b/>
          <w:iCs/>
        </w:rPr>
        <w:t>Destinatarios</w:t>
      </w:r>
      <w:r>
        <w:rPr>
          <w:rFonts w:ascii="Arial" w:hAnsi="Arial" w:cs="Arial"/>
          <w:iCs/>
        </w:rPr>
        <w:t xml:space="preserve">: </w:t>
      </w:r>
    </w:p>
    <w:p w:rsidR="00B14E15" w:rsidRDefault="00B14E15" w:rsidP="00B14E15">
      <w:pPr>
        <w:pStyle w:val="toc-subchapterhead"/>
        <w:spacing w:before="0" w:after="0"/>
        <w:ind w:left="1070"/>
        <w:jc w:val="both"/>
        <w:rPr>
          <w:rFonts w:ascii="Arial" w:hAnsi="Arial" w:cs="Arial"/>
          <w:iCs/>
        </w:rPr>
      </w:pPr>
    </w:p>
    <w:p w:rsidR="00B14E15" w:rsidRPr="00CA7592" w:rsidRDefault="00B14E15" w:rsidP="00B14E15">
      <w:pPr>
        <w:pStyle w:val="toc-subchapterhead"/>
        <w:spacing w:before="0" w:after="0"/>
        <w:jc w:val="both"/>
        <w:rPr>
          <w:rFonts w:ascii="Arial" w:hAnsi="Arial" w:cs="Arial"/>
          <w:iCs/>
        </w:rPr>
      </w:pPr>
      <w:r>
        <w:rPr>
          <w:rFonts w:ascii="Arial" w:hAnsi="Arial" w:cs="Arial"/>
          <w:iCs/>
        </w:rPr>
        <w:t>E</w:t>
      </w:r>
      <w:r w:rsidRPr="00CA7592">
        <w:rPr>
          <w:rFonts w:ascii="Arial" w:hAnsi="Arial" w:cs="Arial"/>
          <w:iCs/>
        </w:rPr>
        <w:t>studiantes avanzados y profesionales del ámbito público o privado, con formación en ciencias químicas, biológicas y afines (básicas o aplicadas) interesados en las temáticas del curso.</w:t>
      </w:r>
    </w:p>
    <w:p w:rsidR="00B14E15" w:rsidRPr="00CA7592" w:rsidRDefault="00B14E15" w:rsidP="00B14E15">
      <w:pPr>
        <w:pStyle w:val="toc-subchapterhead"/>
        <w:spacing w:before="0" w:after="0"/>
        <w:jc w:val="both"/>
        <w:rPr>
          <w:rFonts w:ascii="Arial" w:hAnsi="Arial" w:cs="Arial"/>
          <w:iCs/>
        </w:rPr>
      </w:pPr>
    </w:p>
    <w:p w:rsidR="00B14E15" w:rsidRDefault="00B14E15" w:rsidP="00B14E15">
      <w:pPr>
        <w:pStyle w:val="toc-subchapterhead"/>
        <w:spacing w:before="0" w:after="0"/>
        <w:ind w:left="710"/>
        <w:jc w:val="both"/>
        <w:rPr>
          <w:rFonts w:ascii="Arial" w:hAnsi="Arial" w:cs="Arial"/>
          <w:b/>
          <w:iCs/>
        </w:rPr>
      </w:pPr>
      <w:r w:rsidRPr="00CA7592">
        <w:rPr>
          <w:rFonts w:ascii="Arial" w:hAnsi="Arial" w:cs="Arial"/>
          <w:b/>
          <w:iCs/>
        </w:rPr>
        <w:t>Exigencias para la aprobación del curso:</w:t>
      </w:r>
    </w:p>
    <w:p w:rsidR="00B14E15" w:rsidRPr="00CA7592" w:rsidRDefault="00B14E15" w:rsidP="00B14E15">
      <w:pPr>
        <w:pStyle w:val="toc-subchapterhead"/>
        <w:spacing w:before="0" w:after="0"/>
        <w:ind w:left="1070"/>
        <w:jc w:val="both"/>
        <w:rPr>
          <w:rFonts w:ascii="Arial" w:hAnsi="Arial" w:cs="Arial"/>
          <w:b/>
          <w:iCs/>
        </w:rPr>
      </w:pPr>
    </w:p>
    <w:p w:rsidR="00B14E15" w:rsidRPr="00CA7592" w:rsidRDefault="00B14E15" w:rsidP="00B14E15">
      <w:pPr>
        <w:pStyle w:val="toc-subchapterhead"/>
        <w:spacing w:before="0" w:after="0"/>
        <w:jc w:val="both"/>
        <w:rPr>
          <w:rFonts w:ascii="Arial" w:hAnsi="Arial" w:cs="Arial"/>
          <w:iCs/>
        </w:rPr>
      </w:pPr>
      <w:r w:rsidRPr="00CA7592">
        <w:rPr>
          <w:rFonts w:ascii="Arial" w:hAnsi="Arial" w:cs="Arial"/>
          <w:iCs/>
        </w:rPr>
        <w:t>80 % de asistencia a las clases. Aprobación del examen.</w:t>
      </w:r>
    </w:p>
    <w:p w:rsidR="00B14E15" w:rsidRPr="00CA7592" w:rsidRDefault="00B14E15" w:rsidP="00B14E15">
      <w:pPr>
        <w:pStyle w:val="toc-subchapterhead"/>
        <w:spacing w:before="0" w:after="0"/>
        <w:jc w:val="both"/>
        <w:rPr>
          <w:rFonts w:ascii="Arial" w:hAnsi="Arial" w:cs="Arial"/>
          <w:iCs/>
        </w:rPr>
      </w:pPr>
    </w:p>
    <w:p w:rsidR="00B14E15" w:rsidRDefault="00B14E15" w:rsidP="00B14E15">
      <w:pPr>
        <w:pStyle w:val="toc-subchapterhead"/>
        <w:spacing w:before="0" w:after="0"/>
        <w:ind w:left="710"/>
        <w:jc w:val="both"/>
        <w:rPr>
          <w:rFonts w:ascii="Arial" w:hAnsi="Arial" w:cs="Arial"/>
          <w:b/>
          <w:iCs/>
        </w:rPr>
      </w:pPr>
      <w:r w:rsidRPr="00CA7592">
        <w:rPr>
          <w:rFonts w:ascii="Arial" w:hAnsi="Arial" w:cs="Arial"/>
          <w:b/>
          <w:iCs/>
        </w:rPr>
        <w:t>Certificados:</w:t>
      </w:r>
    </w:p>
    <w:p w:rsidR="00B14E15" w:rsidRPr="00CA7592" w:rsidRDefault="00B14E15" w:rsidP="00B14E15">
      <w:pPr>
        <w:pStyle w:val="toc-subchapterhead"/>
        <w:spacing w:before="0" w:after="0"/>
        <w:ind w:left="1070"/>
        <w:jc w:val="both"/>
        <w:rPr>
          <w:rFonts w:ascii="Arial" w:hAnsi="Arial" w:cs="Arial"/>
          <w:b/>
          <w:iCs/>
        </w:rPr>
      </w:pPr>
    </w:p>
    <w:p w:rsidR="00B14E15" w:rsidRPr="00CA7592" w:rsidRDefault="00B14E15" w:rsidP="00B14E15">
      <w:pPr>
        <w:pStyle w:val="toc-subchapterhead"/>
        <w:spacing w:before="0" w:after="0"/>
        <w:jc w:val="both"/>
        <w:rPr>
          <w:rFonts w:ascii="Arial" w:hAnsi="Arial" w:cs="Arial"/>
          <w:iCs/>
        </w:rPr>
      </w:pPr>
      <w:r w:rsidRPr="00CA7592">
        <w:rPr>
          <w:rFonts w:ascii="Arial" w:hAnsi="Arial" w:cs="Arial"/>
          <w:iCs/>
        </w:rPr>
        <w:t>Aprobación para aquellos que cumplan con todos los requisitos para aprobar el mismo.</w:t>
      </w:r>
    </w:p>
    <w:p w:rsidR="00B14E15" w:rsidRPr="00CA7592" w:rsidRDefault="00B14E15" w:rsidP="00B14E15">
      <w:pPr>
        <w:pStyle w:val="toc-subchapterhead"/>
        <w:spacing w:before="0" w:after="0"/>
        <w:jc w:val="both"/>
        <w:rPr>
          <w:rFonts w:ascii="Arial" w:hAnsi="Arial" w:cs="Arial"/>
          <w:iCs/>
        </w:rPr>
      </w:pPr>
    </w:p>
    <w:p w:rsidR="00B14E15" w:rsidRDefault="00B14E15" w:rsidP="00B14E15">
      <w:pPr>
        <w:pStyle w:val="toc-subchapterhead"/>
        <w:spacing w:before="0" w:after="0"/>
        <w:ind w:left="710"/>
        <w:jc w:val="both"/>
        <w:rPr>
          <w:rFonts w:ascii="Arial" w:hAnsi="Arial" w:cs="Arial"/>
          <w:b/>
          <w:iCs/>
        </w:rPr>
      </w:pPr>
      <w:r w:rsidRPr="00CA7592">
        <w:rPr>
          <w:rFonts w:ascii="Arial" w:hAnsi="Arial" w:cs="Arial"/>
          <w:b/>
          <w:iCs/>
        </w:rPr>
        <w:t>Arancel:</w:t>
      </w:r>
    </w:p>
    <w:p w:rsidR="00B14E15" w:rsidRPr="00CA7592" w:rsidRDefault="00B14E15" w:rsidP="00B14E15">
      <w:pPr>
        <w:pStyle w:val="toc-subchapterhead"/>
        <w:spacing w:before="0" w:after="0"/>
        <w:ind w:left="1070"/>
        <w:jc w:val="both"/>
        <w:rPr>
          <w:rFonts w:ascii="Arial" w:hAnsi="Arial" w:cs="Arial"/>
          <w:b/>
          <w:iCs/>
        </w:rPr>
      </w:pPr>
    </w:p>
    <w:p w:rsidR="00B14E15" w:rsidRPr="00CA7592" w:rsidRDefault="00B14E15" w:rsidP="00B14E15">
      <w:pPr>
        <w:pStyle w:val="toc-subchapterhead"/>
        <w:spacing w:before="0" w:after="0"/>
        <w:jc w:val="both"/>
        <w:rPr>
          <w:rFonts w:ascii="Arial" w:hAnsi="Arial" w:cs="Arial"/>
          <w:iCs/>
        </w:rPr>
      </w:pPr>
      <w:r>
        <w:rPr>
          <w:rFonts w:ascii="Arial" w:hAnsi="Arial" w:cs="Arial"/>
          <w:iCs/>
        </w:rPr>
        <w:t>$ 12</w:t>
      </w:r>
      <w:r w:rsidRPr="00CA7592">
        <w:rPr>
          <w:rFonts w:ascii="Arial" w:hAnsi="Arial" w:cs="Arial"/>
          <w:iCs/>
        </w:rPr>
        <w:t>00 egresados de otras Universidades</w:t>
      </w:r>
    </w:p>
    <w:p w:rsidR="00B14E15" w:rsidRPr="00CA7592" w:rsidRDefault="00B14E15" w:rsidP="00B14E15">
      <w:pPr>
        <w:pStyle w:val="toc-subchapterhead"/>
        <w:spacing w:before="0" w:after="0"/>
        <w:jc w:val="both"/>
        <w:rPr>
          <w:rFonts w:ascii="Arial" w:hAnsi="Arial" w:cs="Arial"/>
          <w:iCs/>
        </w:rPr>
      </w:pPr>
      <w:r>
        <w:rPr>
          <w:rFonts w:ascii="Arial" w:hAnsi="Arial" w:cs="Arial"/>
          <w:iCs/>
        </w:rPr>
        <w:t>$ 5</w:t>
      </w:r>
      <w:r w:rsidRPr="00CA7592">
        <w:rPr>
          <w:rFonts w:ascii="Arial" w:hAnsi="Arial" w:cs="Arial"/>
          <w:iCs/>
        </w:rPr>
        <w:t>00 egresados y/o docentes de la FCEyN de la UNLPam</w:t>
      </w:r>
    </w:p>
    <w:p w:rsidR="00B14E15" w:rsidRDefault="00B14E15" w:rsidP="00B14E15">
      <w:pPr>
        <w:pStyle w:val="toc-subchapterhead"/>
        <w:spacing w:before="0" w:after="0"/>
        <w:jc w:val="both"/>
        <w:rPr>
          <w:rFonts w:ascii="Arial" w:hAnsi="Arial" w:cs="Arial"/>
          <w:iCs/>
        </w:rPr>
      </w:pPr>
      <w:r>
        <w:rPr>
          <w:rFonts w:ascii="Arial" w:hAnsi="Arial" w:cs="Arial"/>
          <w:iCs/>
        </w:rPr>
        <w:t xml:space="preserve">Gratuito para </w:t>
      </w:r>
      <w:r w:rsidRPr="00CA7592">
        <w:rPr>
          <w:rFonts w:ascii="Arial" w:hAnsi="Arial" w:cs="Arial"/>
          <w:iCs/>
        </w:rPr>
        <w:t xml:space="preserve">estudiantes avanzados de la FCEyN - UNLPam y/o carreras afines </w:t>
      </w:r>
    </w:p>
    <w:p w:rsidR="00B14E15" w:rsidRPr="00CA7592" w:rsidRDefault="00B14E15" w:rsidP="00B14E15">
      <w:pPr>
        <w:pStyle w:val="toc-subchapterhead"/>
        <w:spacing w:before="0" w:after="0"/>
        <w:jc w:val="both"/>
        <w:rPr>
          <w:rFonts w:ascii="Arial" w:hAnsi="Arial" w:cs="Arial"/>
          <w:iCs/>
        </w:rPr>
      </w:pPr>
    </w:p>
    <w:p w:rsidR="00B14E15" w:rsidRDefault="00B14E15" w:rsidP="00B14E15">
      <w:pPr>
        <w:pStyle w:val="toc-subchapterhead"/>
        <w:spacing w:before="0" w:after="0"/>
        <w:ind w:left="710"/>
        <w:jc w:val="both"/>
        <w:rPr>
          <w:rFonts w:ascii="Arial" w:hAnsi="Arial" w:cs="Arial"/>
          <w:iCs/>
        </w:rPr>
      </w:pPr>
      <w:r>
        <w:rPr>
          <w:rFonts w:ascii="Arial" w:hAnsi="Arial" w:cs="Arial"/>
          <w:b/>
          <w:iCs/>
        </w:rPr>
        <w:t>Fecha de inicio y finalización</w:t>
      </w:r>
      <w:r w:rsidRPr="00CA7592">
        <w:rPr>
          <w:rFonts w:ascii="Arial" w:hAnsi="Arial" w:cs="Arial"/>
          <w:iCs/>
        </w:rPr>
        <w:t>:</w:t>
      </w:r>
    </w:p>
    <w:p w:rsidR="00B14E15" w:rsidRPr="00CA7592" w:rsidRDefault="00B14E15" w:rsidP="00B14E15">
      <w:pPr>
        <w:pStyle w:val="toc-subchapterhead"/>
        <w:spacing w:before="0" w:after="0"/>
        <w:ind w:left="1070"/>
        <w:jc w:val="both"/>
        <w:rPr>
          <w:rFonts w:ascii="Arial" w:hAnsi="Arial" w:cs="Arial"/>
          <w:iCs/>
        </w:rPr>
      </w:pPr>
    </w:p>
    <w:p w:rsidR="00B14E15" w:rsidRPr="00EE1A39" w:rsidRDefault="00B14E15" w:rsidP="00B14E15">
      <w:pPr>
        <w:pStyle w:val="toc-subchapterhead"/>
        <w:spacing w:before="0" w:after="0"/>
        <w:jc w:val="both"/>
        <w:rPr>
          <w:rFonts w:ascii="Arial" w:hAnsi="Arial" w:cs="Arial"/>
          <w:iCs/>
        </w:rPr>
      </w:pPr>
      <w:r>
        <w:rPr>
          <w:rFonts w:ascii="Arial" w:hAnsi="Arial" w:cs="Arial"/>
          <w:iCs/>
        </w:rPr>
        <w:t>D</w:t>
      </w:r>
      <w:r w:rsidRPr="00CA7592">
        <w:rPr>
          <w:rFonts w:ascii="Arial" w:hAnsi="Arial" w:cs="Arial"/>
          <w:iCs/>
        </w:rPr>
        <w:t>el</w:t>
      </w:r>
      <w:r>
        <w:rPr>
          <w:rFonts w:ascii="Arial" w:hAnsi="Arial" w:cs="Arial"/>
          <w:iCs/>
        </w:rPr>
        <w:t xml:space="preserve"> 8 al 10 y el 13 de noviembre del 2017 de </w:t>
      </w:r>
      <w:r w:rsidRPr="00EE1A39">
        <w:rPr>
          <w:rFonts w:ascii="Arial" w:hAnsi="Arial" w:cs="Arial"/>
          <w:iCs/>
        </w:rPr>
        <w:t xml:space="preserve"> 9 a 17 h</w:t>
      </w:r>
      <w:r>
        <w:rPr>
          <w:rFonts w:ascii="Arial" w:hAnsi="Arial" w:cs="Arial"/>
          <w:iCs/>
        </w:rPr>
        <w:t>. en el Aula 2 del Pabellón Sur del Campus de Enseñanza de la UNLPam.</w:t>
      </w:r>
    </w:p>
    <w:p w:rsidR="007D3FCA" w:rsidRDefault="007D3FCA"/>
    <w:sectPr w:rsidR="007D3FCA" w:rsidSect="002B5823">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4F4" w:rsidRDefault="007C54F4" w:rsidP="00B14E15">
      <w:r>
        <w:separator/>
      </w:r>
    </w:p>
  </w:endnote>
  <w:endnote w:type="continuationSeparator" w:id="0">
    <w:p w:rsidR="007C54F4" w:rsidRDefault="007C54F4" w:rsidP="00B14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4F4" w:rsidRDefault="007C54F4" w:rsidP="00B14E15">
      <w:r>
        <w:separator/>
      </w:r>
    </w:p>
  </w:footnote>
  <w:footnote w:type="continuationSeparator" w:id="0">
    <w:p w:rsidR="007C54F4" w:rsidRDefault="007C54F4" w:rsidP="00B14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15" w:rsidRDefault="00B14E15" w:rsidP="00B14E15">
    <w:pPr>
      <w:shd w:val="clear" w:color="auto" w:fill="FFFFFF"/>
      <w:ind w:right="51"/>
    </w:pPr>
    <w:r>
      <w:rPr>
        <w:noProof/>
        <w:lang w:val="es-AR" w:eastAsia="es-AR"/>
      </w:rPr>
      <w:drawing>
        <wp:inline distT="0" distB="0" distL="0" distR="0">
          <wp:extent cx="33528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942975"/>
                  </a:xfrm>
                  <a:prstGeom prst="rect">
                    <a:avLst/>
                  </a:prstGeom>
                  <a:noFill/>
                  <a:ln>
                    <a:noFill/>
                  </a:ln>
                </pic:spPr>
              </pic:pic>
            </a:graphicData>
          </a:graphic>
        </wp:inline>
      </w:drawing>
    </w:r>
    <w:r>
      <w:rPr>
        <w:sz w:val="2"/>
      </w:rPr>
      <w:t xml:space="preserve"> </w:t>
    </w:r>
  </w:p>
  <w:p w:rsidR="00B14E15" w:rsidRDefault="00B14E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CDF"/>
    <w:multiLevelType w:val="hybridMultilevel"/>
    <w:tmpl w:val="AF164CC2"/>
    <w:lvl w:ilvl="0" w:tplc="96A8494E">
      <w:start w:val="1"/>
      <w:numFmt w:val="decimal"/>
      <w:lvlText w:val="%1."/>
      <w:lvlJc w:val="left"/>
      <w:pPr>
        <w:ind w:left="107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14E15"/>
    <w:rsid w:val="002B5823"/>
    <w:rsid w:val="004875CC"/>
    <w:rsid w:val="007C54F4"/>
    <w:rsid w:val="007D3FCA"/>
    <w:rsid w:val="00B14E1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15"/>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14E15"/>
    <w:rPr>
      <w:color w:val="0000FF"/>
      <w:u w:val="single"/>
    </w:rPr>
  </w:style>
  <w:style w:type="paragraph" w:customStyle="1" w:styleId="toc-chaptitle">
    <w:name w:val="toc-chaptitle"/>
    <w:basedOn w:val="Normal"/>
    <w:rsid w:val="00B14E15"/>
    <w:pPr>
      <w:spacing w:before="280" w:after="280"/>
    </w:pPr>
    <w:rPr>
      <w:color w:val="auto"/>
      <w:lang w:eastAsia="ar-SA"/>
    </w:rPr>
  </w:style>
  <w:style w:type="paragraph" w:customStyle="1" w:styleId="toc-subchapterhead">
    <w:name w:val="toc-subchapterhead"/>
    <w:basedOn w:val="Normal"/>
    <w:rsid w:val="00B14E15"/>
    <w:pPr>
      <w:spacing w:before="280" w:after="280"/>
    </w:pPr>
    <w:rPr>
      <w:color w:val="auto"/>
      <w:lang w:eastAsia="ar-SA"/>
    </w:rPr>
  </w:style>
  <w:style w:type="paragraph" w:customStyle="1" w:styleId="toc-sub-subchapterhead">
    <w:name w:val="toc-sub-subchapterhead"/>
    <w:basedOn w:val="Normal"/>
    <w:rsid w:val="00B14E15"/>
    <w:pPr>
      <w:spacing w:before="280" w:after="280"/>
    </w:pPr>
    <w:rPr>
      <w:color w:val="auto"/>
      <w:lang w:eastAsia="ar-SA"/>
    </w:rPr>
  </w:style>
  <w:style w:type="paragraph" w:styleId="Encabezado">
    <w:name w:val="header"/>
    <w:basedOn w:val="Normal"/>
    <w:link w:val="EncabezadoCar"/>
    <w:uiPriority w:val="99"/>
    <w:unhideWhenUsed/>
    <w:rsid w:val="00B14E15"/>
    <w:pPr>
      <w:tabs>
        <w:tab w:val="center" w:pos="4419"/>
        <w:tab w:val="right" w:pos="8838"/>
      </w:tabs>
    </w:pPr>
  </w:style>
  <w:style w:type="character" w:customStyle="1" w:styleId="EncabezadoCar">
    <w:name w:val="Encabezado Car"/>
    <w:basedOn w:val="Fuentedeprrafopredeter"/>
    <w:link w:val="Encabezado"/>
    <w:uiPriority w:val="99"/>
    <w:rsid w:val="00B14E15"/>
    <w:rPr>
      <w:rFonts w:ascii="Times New Roman" w:eastAsia="Times New Roman" w:hAnsi="Times New Roman" w:cs="Times New Roman"/>
      <w:color w:val="000000"/>
      <w:sz w:val="24"/>
      <w:szCs w:val="24"/>
      <w:lang w:val="es-ES" w:eastAsia="es-ES"/>
    </w:rPr>
  </w:style>
  <w:style w:type="paragraph" w:styleId="Piedepgina">
    <w:name w:val="footer"/>
    <w:basedOn w:val="Normal"/>
    <w:link w:val="PiedepginaCar"/>
    <w:uiPriority w:val="99"/>
    <w:unhideWhenUsed/>
    <w:rsid w:val="00B14E15"/>
    <w:pPr>
      <w:tabs>
        <w:tab w:val="center" w:pos="4419"/>
        <w:tab w:val="right" w:pos="8838"/>
      </w:tabs>
    </w:pPr>
  </w:style>
  <w:style w:type="character" w:customStyle="1" w:styleId="PiedepginaCar">
    <w:name w:val="Pie de página Car"/>
    <w:basedOn w:val="Fuentedeprrafopredeter"/>
    <w:link w:val="Piedepgina"/>
    <w:uiPriority w:val="99"/>
    <w:rsid w:val="00B14E15"/>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B14E15"/>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15"/>
    <w:rPr>
      <w:rFonts w:ascii="Tahoma" w:eastAsia="Times New Roman" w:hAnsi="Tahoma" w:cs="Tahoma"/>
      <w:color w:val="00000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15"/>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14E15"/>
    <w:rPr>
      <w:color w:val="0000FF"/>
      <w:u w:val="single"/>
    </w:rPr>
  </w:style>
  <w:style w:type="paragraph" w:customStyle="1" w:styleId="toc-chaptitle">
    <w:name w:val="toc-chaptitle"/>
    <w:basedOn w:val="Normal"/>
    <w:rsid w:val="00B14E15"/>
    <w:pPr>
      <w:spacing w:before="280" w:after="280"/>
    </w:pPr>
    <w:rPr>
      <w:color w:val="auto"/>
      <w:lang w:eastAsia="ar-SA"/>
    </w:rPr>
  </w:style>
  <w:style w:type="paragraph" w:customStyle="1" w:styleId="toc-subchapterhead">
    <w:name w:val="toc-subchapterhead"/>
    <w:basedOn w:val="Normal"/>
    <w:rsid w:val="00B14E15"/>
    <w:pPr>
      <w:spacing w:before="280" w:after="280"/>
    </w:pPr>
    <w:rPr>
      <w:color w:val="auto"/>
      <w:lang w:eastAsia="ar-SA"/>
    </w:rPr>
  </w:style>
  <w:style w:type="paragraph" w:customStyle="1" w:styleId="toc-sub-subchapterhead">
    <w:name w:val="toc-sub-subchapterhead"/>
    <w:basedOn w:val="Normal"/>
    <w:rsid w:val="00B14E15"/>
    <w:pPr>
      <w:spacing w:before="280" w:after="280"/>
    </w:pPr>
    <w:rPr>
      <w:color w:val="auto"/>
      <w:lang w:eastAsia="ar-SA"/>
    </w:rPr>
  </w:style>
  <w:style w:type="paragraph" w:styleId="Encabezado">
    <w:name w:val="header"/>
    <w:basedOn w:val="Normal"/>
    <w:link w:val="EncabezadoCar"/>
    <w:uiPriority w:val="99"/>
    <w:unhideWhenUsed/>
    <w:rsid w:val="00B14E15"/>
    <w:pPr>
      <w:tabs>
        <w:tab w:val="center" w:pos="4419"/>
        <w:tab w:val="right" w:pos="8838"/>
      </w:tabs>
    </w:pPr>
  </w:style>
  <w:style w:type="character" w:customStyle="1" w:styleId="EncabezadoCar">
    <w:name w:val="Encabezado Car"/>
    <w:basedOn w:val="Fuentedeprrafopredeter"/>
    <w:link w:val="Encabezado"/>
    <w:uiPriority w:val="99"/>
    <w:rsid w:val="00B14E15"/>
    <w:rPr>
      <w:rFonts w:ascii="Times New Roman" w:eastAsia="Times New Roman" w:hAnsi="Times New Roman" w:cs="Times New Roman"/>
      <w:color w:val="000000"/>
      <w:sz w:val="24"/>
      <w:szCs w:val="24"/>
      <w:lang w:val="es-ES" w:eastAsia="es-ES"/>
    </w:rPr>
  </w:style>
  <w:style w:type="paragraph" w:styleId="Piedepgina">
    <w:name w:val="footer"/>
    <w:basedOn w:val="Normal"/>
    <w:link w:val="PiedepginaCar"/>
    <w:uiPriority w:val="99"/>
    <w:unhideWhenUsed/>
    <w:rsid w:val="00B14E15"/>
    <w:pPr>
      <w:tabs>
        <w:tab w:val="center" w:pos="4419"/>
        <w:tab w:val="right" w:pos="8838"/>
      </w:tabs>
    </w:pPr>
  </w:style>
  <w:style w:type="character" w:customStyle="1" w:styleId="PiedepginaCar">
    <w:name w:val="Pie de página Car"/>
    <w:basedOn w:val="Fuentedeprrafopredeter"/>
    <w:link w:val="Piedepgina"/>
    <w:uiPriority w:val="99"/>
    <w:rsid w:val="00B14E15"/>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B14E15"/>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15"/>
    <w:rPr>
      <w:rFonts w:ascii="Tahoma" w:eastAsia="Times New Roman" w:hAnsi="Tahoma" w:cs="Tahoma"/>
      <w:color w:val="000000"/>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ilvialaur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5970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Soluciones Informaticas</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Salvador</dc:creator>
  <cp:lastModifiedBy>MMMM</cp:lastModifiedBy>
  <cp:revision>2</cp:revision>
  <dcterms:created xsi:type="dcterms:W3CDTF">2017-10-17T10:46:00Z</dcterms:created>
  <dcterms:modified xsi:type="dcterms:W3CDTF">2017-10-17T10:46:00Z</dcterms:modified>
</cp:coreProperties>
</file>